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TOP Semináře s.r.o.,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Vzdělávací agentura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akreditované programy u MPSV a MV ČR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  <w:tab w:val="left" w:leader="none" w:pos="1800"/>
          <w:tab w:val="center" w:leader="none" w:pos="509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Zátiší 476/12, Ostrava – Svinov, 721 00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IČ: 06546897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Mobil:602 707 481, E-mail: info@topseminare.cz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více informací na: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www.topseminare.cz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500505" cy="157670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576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Vás dovolujeme pozvat na seminář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48"/>
          <w:szCs w:val="48"/>
          <w:u w:val="none"/>
          <w:shd w:fill="auto" w:val="clear"/>
          <w:vertAlign w:val="baseline"/>
          <w:rtl w:val="0"/>
        </w:rPr>
        <w:t xml:space="preserve">„Správní řád v agendě sociálně-právní ochrany dětí na úrovni obce </w:t>
        <w:br w:type="textWrapping"/>
        <w:t xml:space="preserve">s rozšířenou působností“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akreditace MPSV: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„Správní řád v agendě sociálně-právní ochrany dětí na úrovni obce </w:t>
        <w:br w:type="textWrapping"/>
        <w:t xml:space="preserve">s rozšířenou působností“ Akreditace č.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 A2023/0917-SP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. (8. hodin)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akreditace MVČR: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„Správní řád v agendě sociálně-právní ochrany dětí na úrovni obce </w:t>
        <w:br w:type="textWrapping"/>
        <w:t xml:space="preserve">s rozšířenou působností“ . Akreditace č.: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AK/PV-515/2023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 (8. hodin)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7866"/>
        <w:tblGridChange w:id="0">
          <w:tblGrid>
            <w:gridCol w:w="1980"/>
            <w:gridCol w:w="786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Variabilní symbol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2024403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NOVINKA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Termín konání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25.4. 2024 (čtvrtek)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 8,30 hod. (prezence od 8,00 hod - 8,30 hod.)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Místo konání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Hotel ILF Budějovická 15/743 14000 Praha,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https://hotel-ilf.hotel.cz/map/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Přednáší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Mgr. et Mgr. Martin Doležal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, SWE (Social Work England), člen Profesní komory sociálně-právní ochrany dětí (PKSPOD)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1 990 Kč / osobu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Program semináře: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Úvod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Představení tématu a lektora. Struktura správního řádu.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Vztah zákona o sociálně-právní ochraně dětí (SPOD) a správního řádu v oblasti jeho působnosti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Rozsah použití správního řádu mimo správní řízení, základní zásady činnosti správních orgánů. Definice správního řízení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Správní řízení na úseku SPOD – Procesní část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Věcná a místní příslušnost, dožádání a vedení řízení, mlčenlivost dle správního řádu a SPOD, spis a protokol, účastníci řízení, podání, nahlížení do spisu, postup před zahájením řízení, zahájení řízení o žádosti, zahájení řízení z moci úřední, překážky řízení, výchovná opatření ve správním řízení, účastníci řízení a zastoupení, úkony účastníků, lhůty a počítání času, průběh řízení v prvním stupni podle správního řádu ve vzájemné souvislosti se zákonem o SPOD-zahájení řízení, podklady pro vydání rozhodnutí, zajištění účelu a průběhu řízení, přerušení řízení, zastavení řízení, rozhodnutí, usnesení, zvláštní typy řízení.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Přezkoumávání rozhodnutí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Odvolací řízení, obnova řízení, nové rozhodnutí.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Další důležité oblasti správního řádu ve vztahu k SPOD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Vyjádření osvědčení a sdělení orgánů SPOD pro jiné správní orgány. Veřejnoprávní smlouvy, opatření obecné povahy, stížnosti.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Praktické ukázky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Formuláře k jednotlivým typům řízení - např. řízení ve věci výchovných opatření: dohled, omezení, využití odborné služby, řízení ve věci Uložení povinnosti ve správním řízení, řízení o vydaní souhlasu dle§ 16b ZSPOD, Řízení o vydání o zamítnutí žádosti o vydání souhlasu s poskytováním, ochrany  a pomoci dítěti dle § 42a odst. 6 písm. a) SPOD, řízení o zamítnutí žádosti o vydání souhlasu s prodloužením trvání smlouvy o poskytování ochrany a pomoc § 42a odst. 6 písm. b) ZSPOD, Usnesení o zastavení řízení o žádostech podle § 16b odst. 1 písm. a) nebo b) ZSPOD, Řízení o zrušení souhlasu podle § 16b odst. 5 ZSPOD, Příkazní řízení dle § 150 SpŘ v SPOD, vydávání písemného souhlasu, s pobytem dítěte mimo zařízení dle 30 odst. 1 a dle § 154 SpŘ (vydání osvědčení), zrušení rozhodnutí o uložení výchovného opatření ve správním řízení dle § 13 odst. 4 ZSPOD apod.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Závěr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Shrnutí, dotazy posluchačů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Součástí ceny je osvědčení o absolvování semináře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, materiály k tématu v elektronické podobě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a občerstvení, které sestává z nealkoholických nápojů, občerstvení v průběhu školení (chlebíčky, sladké pečivo v rautové podobě apod.)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30"/>
        </w:tabs>
        <w:spacing w:after="0" w:before="0" w:line="240" w:lineRule="auto"/>
        <w:ind w:left="0" w:right="-15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Jak se přihlásit: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Zaplaťte účastnický poplatek a vyplňte přihlašovací formulář, prostřednictvím našich webových stránek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www.topseminare.cz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Úředníci ÚSC mohou realizovat platbu za seminář až po obdržení faktury po semináři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Nejasnosti a dotazy rádi vyřídíme telefonicky či emailem (kontakty viz výše nebo na webových stránkách).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lhůtě tři dny a méně před konáním akce není možné zrušit účast na semináři. Kdykoli je možné nahlásit náhradníka na </w:t>
      </w:r>
      <w:hyperlink r:id="rId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info@topseminare.cz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Zaplacení a smluvní podmínky: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Úhradu semináře proveďte na náš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účet č. 5000500032/5500 Raiffeisen Bank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neopomeňte uvést správný variabilní symbol. Daňový doklad obdrží účastníci v den konání semináře. V případě neúčasti se vložné nevrací, ale je možné poslat náhradníka.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19" w:top="540" w:left="72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08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="360" w:leftChars="-1" w:rightChars="0" w:firstLine="348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5">
    <w:name w:val="Nadpis 5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Verdana" w:hAnsi="Verdana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6">
    <w:name w:val="Nadpis 6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Tahoma" w:cs="Tahoma" w:hAnsi="Tahoma"/>
      <w:bCs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Nadpis7">
    <w:name w:val="Nadpis 7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8">
    <w:name w:val="Nadpis 8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rFonts w:ascii="Arial" w:cs="Arial" w:hAnsi="Arial"/>
      <w:b w:val="1"/>
      <w:bCs w:val="1"/>
      <w:color w:val="3366ff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9">
    <w:name w:val="Nadpis 9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color w:val="0000ff"/>
      <w:w w:val="100"/>
      <w:position w:val="-1"/>
      <w:sz w:val="24"/>
      <w:szCs w:val="28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ázev">
    <w:name w:val="Název"/>
    <w:basedOn w:val="Normální"/>
    <w:next w:val="Název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ozvrženídokumentu">
    <w:name w:val="Rozvržení dokumentu"/>
    <w:basedOn w:val="Normální"/>
    <w:next w:val="Rozvrženídokumentu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Podtitul">
    <w:name w:val="Podtitul"/>
    <w:basedOn w:val="Normální"/>
    <w:next w:val="Podtitu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z-Začátekformuláře">
    <w:name w:val="z-Začátek formuláře"/>
    <w:basedOn w:val="Normální"/>
    <w:next w:val="Normální"/>
    <w:autoRedefine w:val="0"/>
    <w:hidden w:val="0"/>
    <w:qFormat w:val="0"/>
    <w:pPr>
      <w:pBdr>
        <w:bottom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z-Konecformuláře">
    <w:name w:val="z-Konec formuláře"/>
    <w:basedOn w:val="Normální"/>
    <w:next w:val="Normální"/>
    <w:autoRedefine w:val="0"/>
    <w:hidden w:val="0"/>
    <w:qFormat w:val="0"/>
    <w:pPr>
      <w:pBdr>
        <w:top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Textvbloku">
    <w:name w:val="Text v bloku"/>
    <w:basedOn w:val="Normální"/>
    <w:next w:val="Textvbloku"/>
    <w:autoRedefine w:val="0"/>
    <w:hidden w:val="0"/>
    <w:qFormat w:val="0"/>
    <w:pPr>
      <w:suppressAutoHyphens w:val="1"/>
      <w:spacing w:after="240" w:before="150" w:line="1" w:lineRule="atLeast"/>
      <w:ind w:left="150" w:right="150"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2"/>
      <w:szCs w:val="19"/>
      <w:effect w:val="none"/>
      <w:vertAlign w:val="baseline"/>
      <w:cs w:val="0"/>
      <w:em w:val="none"/>
      <w:lang w:bidi="ar-SA" w:eastAsia="cs-CZ" w:val="cs-CZ"/>
    </w:rPr>
  </w:style>
  <w:style w:type="character" w:styleId="Sledovanýodkaz">
    <w:name w:val="Sledovaný odkaz"/>
    <w:next w:val="Sledovanýodkaz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tmlcode">
    <w:name w:val="htmlcode"/>
    <w:basedOn w:val="Standardnípísmoodstavce"/>
    <w:next w:val="htmlcod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výraznění">
    <w:name w:val="Zvýraznění"/>
    <w:next w:val="Zvýraznění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line="1" w:lineRule="atLeast"/>
      <w:ind w:left="720" w:right="624"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quote12">
    <w:name w:val="quote12"/>
    <w:next w:val="quote12"/>
    <w:autoRedefine w:val="0"/>
    <w:hidden w:val="0"/>
    <w:qFormat w:val="0"/>
    <w:rPr>
      <w:color w:val="00468e"/>
      <w:w w:val="100"/>
      <w:position w:val="-1"/>
      <w:effect w:val="none"/>
      <w:vertAlign w:val="baseline"/>
      <w:cs w:val="0"/>
      <w:em w:val="none"/>
      <w:lang/>
    </w:rPr>
  </w:style>
  <w:style w:type="character" w:styleId="ZápatíChar">
    <w:name w:val="Zápatí Char"/>
    <w:next w:val="Zápat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odsazený2">
    <w:name w:val="Základní text odsazený 2"/>
    <w:basedOn w:val="Normální"/>
    <w:next w:val="Základnítextodsazený2"/>
    <w:autoRedefine w:val="0"/>
    <w:hidden w:val="0"/>
    <w:qFormat w:val="1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Základnítextodsazený2Char">
    <w:name w:val="Základní text odsazený 2 Char"/>
    <w:next w:val="Základnítextodsazený2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ni">
    <w:name w:val="normalni"/>
    <w:basedOn w:val="Normální"/>
    <w:next w:val="normaln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NázevChar">
    <w:name w:val="Název Char"/>
    <w:next w:val="NázevChar"/>
    <w:autoRedefine w:val="0"/>
    <w:hidden w:val="0"/>
    <w:qFormat w:val="0"/>
    <w:rPr>
      <w:b w:val="1"/>
      <w:bCs w:val="1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Základnítext2Char">
    <w:name w:val="Základní text 2 Char"/>
    <w:next w:val="Základnítext2Char"/>
    <w:autoRedefine w:val="0"/>
    <w:hidden w:val="0"/>
    <w:qFormat w:val="0"/>
    <w:rPr>
      <w:w w:val="100"/>
      <w:position w:val="-1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topseminare.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topseminar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uUElyl/MX4+vQo69o0bacuG9/w==">CgMxLjA4AHIhMVd2LWtxWHRnZlpQeHljR1UtZHF3ay16WlpOei1RMlpW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2023-10-25T07:34:00Z</dcterms:created>
  <dc:creator>Jiří Staněk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