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 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 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48"/>
          <w:szCs w:val="48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48"/>
          <w:szCs w:val="48"/>
          <w:u w:val="none"/>
          <w:shd w:fill="auto" w:val="clear"/>
          <w:vertAlign w:val="baseline"/>
          <w:rtl w:val="0"/>
        </w:rPr>
        <w:t xml:space="preserve">Bezdomovectví jako výzva pro sociální práci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48"/>
          <w:szCs w:val="48"/>
          <w:u w:val="none"/>
          <w:shd w:fill="auto" w:val="clear"/>
          <w:vertAlign w:val="baseline"/>
          <w:rtl w:val="0"/>
        </w:rPr>
        <w:t xml:space="preserve">“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MPSV: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sz w:val="24"/>
          <w:szCs w:val="24"/>
          <w:rtl w:val="0"/>
        </w:rPr>
        <w:t xml:space="preserve"> Bezdomovectví jako výzva pro sociální práci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.  Akreditace č.: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4"/>
          <w:szCs w:val="24"/>
          <w:rtl w:val="0"/>
        </w:rPr>
        <w:t xml:space="preserve">A2025/0019-SP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. (8. hodin)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akreditace MVČR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4"/>
          <w:szCs w:val="24"/>
          <w:rtl w:val="0"/>
        </w:rPr>
        <w:t xml:space="preserve">Bezdomovectví jako výzva pro sociální práci</w:t>
      </w:r>
      <w:r w:rsidDel="00000000" w:rsidR="00000000" w:rsidRPr="00000000">
        <w:rPr>
          <w:rFonts w:ascii="Times New Roman" w:cs="Times New Roman" w:eastAsia="Times New Roman" w:hAnsi="Times New Roman"/>
          <w:color w:val="4472c4"/>
          <w:sz w:val="24"/>
          <w:szCs w:val="24"/>
          <w:rtl w:val="0"/>
        </w:rPr>
        <w:t xml:space="preserve"> (program vypracovaný dle zákona č. 312/2002 Sb., o úřednících ÚSC v aktuálním znění. (8 hodin))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4"/>
          <w:szCs w:val="24"/>
          <w:rtl w:val="0"/>
        </w:rPr>
        <w:t xml:space="preserve">Akreditace vzdělávací instituce AK/I-53/2017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48"/>
                <w:szCs w:val="48"/>
                <w:rtl w:val="0"/>
              </w:rPr>
              <w:t xml:space="preserve">Bezdomovectví jako výzva pro sociální práci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MPSV: A2025/0019-SP (8. hodin) kombinovaná forma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rtl w:val="0"/>
              </w:rPr>
              <w:t xml:space="preserve">MVČR: (program vypracovaný dle zákona č. 312/2002 Sb., o úřednících ÚSC v aktuálním znění. (8 hodin)) Akreditace vzdělávací instituce AK/I-53/2017 (prezenční)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202510044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NOVINKA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PhDr. Táňa Faltysová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- sociální kurátor pro dospělé-město Hodonín, lektor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9.10. 2025 (čtvrtek) od 9.00,00 hod.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(prezence od 8,30hod – 9,00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Střední škola prof. Zdeňka Matějíčka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17. listopadu 1123/70, 708 00, Ostrava-Poruba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sz w:val="24"/>
                <w:szCs w:val="24"/>
                <w:rtl w:val="0"/>
              </w:rPr>
              <w:t xml:space="preserve">1 990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Anotace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Vzdělávací program se týká problematiky bezdomovectví a sociální práce s osobami, které se ocitly v nepříznivé sociální situaci spojené se ztrátou přístřeší nebo jim toto hrozí. Definuje bezdomovce, zaměřuje se na formy a příčiny bezdomovectví, na bezdomoveckou pouliční kulturu, vymezuje specifika bezdomovectví žen, mladých lidí, stárnoucích a zdravotně znevýhodněných osob. Zabývá se souvislostí mezi bezdomovectvím a dalšími negativními jevy (kriminalita, užívání návykových látek). Dále vymezuje specifika sociální práce s bezdomovci, přičemž klade důraz na úctu k lidské důstojnosti každého klienta. Podává přehled sociálních služeb určených této cílové skupině, zmiňuje roli sociálního kurátora a význam terénní práce. Zabývá se také možnostmi prevence bezdomovectví. </w:t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Cílové kompetence: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absolventi upevňují své poznatky o problematice bezdomovectví,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absolventi obnovují informace o specificích této cílové skupiny,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absolventi se učí pochopit souvislost mezi bezdomovectvím, závislostmi a kriminalitou,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absolventi doplňují svoje znalosti o možnostech pomoci těmto lidem,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absolventi se seznamují se specifiky sociální práce s bezdomovci,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absolventi získávají povědomí o významu terénní práce,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absolventi se učí pochopit roli sociálního pracovníka v podpoře osob bez přístřeší,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absolventi obnovují informace o fungování sociálních služeb, určených lidem bez domova,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absolventi doplňují své poznatky o možnostech prevence bezdomovectví</w:t>
      </w:r>
    </w:p>
    <w:p w:rsidR="00000000" w:rsidDel="00000000" w:rsidP="00000000" w:rsidRDefault="00000000" w:rsidRPr="00000000" w14:paraId="00000039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 a občerstvení, které sestává z nealkoholických nápojů a občerstvení v průběhu školení.</w:t>
      </w:r>
    </w:p>
    <w:p w:rsidR="00000000" w:rsidDel="00000000" w:rsidP="00000000" w:rsidRDefault="00000000" w:rsidRPr="00000000" w14:paraId="0000003B">
      <w:pPr>
        <w:tabs>
          <w:tab w:val="left" w:leader="none" w:pos="3330"/>
        </w:tabs>
        <w:ind w:right="-153"/>
        <w:jc w:val="both"/>
        <w:rPr>
          <w:b w:val="1"/>
          <w:color w:val="00b0f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</w:t>
      </w:r>
      <w:r w:rsidDel="00000000" w:rsidR="00000000" w:rsidRPr="00000000">
        <w:rPr>
          <w:b w:val="1"/>
          <w:color w:val="00b0f0"/>
          <w:rtl w:val="0"/>
        </w:rPr>
        <w:t xml:space="preserve">  </w:t>
        <w:tab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3F">
      <w:pPr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Úhradu semináře proveďte na náš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účet č. 5000500032/5500 Raiffeisen Bank</w:t>
      </w:r>
      <w:r w:rsidDel="00000000" w:rsidR="00000000" w:rsidRPr="00000000">
        <w:rPr>
          <w:sz w:val="20"/>
          <w:szCs w:val="20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rebuchet MS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info@topseminare.cz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opseminare.cz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maps.app.goo.gl/airnnwwr3cwZ4MUA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