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12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-457833</wp:posOffset>
                </wp:positionV>
                <wp:extent cx="8247380" cy="214122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222300" y="2709375"/>
                          <a:ext cx="8247380" cy="2141220"/>
                          <a:chOff x="1222300" y="2709375"/>
                          <a:chExt cx="8247375" cy="2141250"/>
                        </a:xfrm>
                      </wpg:grpSpPr>
                      <wpg:grpSp>
                        <wpg:cNvGrpSpPr/>
                        <wpg:grpSpPr>
                          <a:xfrm>
                            <a:off x="1222310" y="2709390"/>
                            <a:ext cx="8247380" cy="2141220"/>
                            <a:chOff x="-7144" y="-7144"/>
                            <a:chExt cx="6005513" cy="1924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7144" y="-7144"/>
                              <a:ext cx="6005500" cy="192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121694" y="-7144"/>
                              <a:ext cx="3876675" cy="1762125"/>
                            </a:xfrm>
                            <a:custGeom>
                              <a:rect b="b" l="l" r="r" t="t"/>
                              <a:pathLst>
                                <a:path extrusionOk="0" h="1762125" w="3876675">
                                  <a:moveTo>
                                    <a:pt x="3869531" y="1359694"/>
                                  </a:moveTo>
                                  <a:cubicBezTo>
                                    <a:pt x="3869531" y="1359694"/>
                                    <a:pt x="3379946" y="1834039"/>
                                    <a:pt x="2359819" y="1744504"/>
                                  </a:cubicBezTo>
                                  <a:cubicBezTo>
                                    <a:pt x="1339691" y="1654969"/>
                                    <a:pt x="936784" y="1180624"/>
                                    <a:pt x="7144" y="1287304"/>
                                  </a:cubicBezTo>
                                  <a:lnTo>
                                    <a:pt x="7144" y="7144"/>
                                  </a:lnTo>
                                  <a:lnTo>
                                    <a:pt x="3869531" y="7144"/>
                                  </a:lnTo>
                                  <a:lnTo>
                                    <a:pt x="3869531" y="1359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83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-7144" y="-7144"/>
                              <a:ext cx="6000750" cy="1924050"/>
                            </a:xfrm>
                            <a:custGeom>
                              <a:rect b="b" l="l" r="r" t="t"/>
                              <a:pathLst>
                                <a:path extrusionOk="0" h="1924050" w="6000750">
                                  <a:moveTo>
                                    <a:pt x="7144" y="1699736"/>
                                  </a:moveTo>
                                  <a:cubicBezTo>
                                    <a:pt x="7144" y="1699736"/>
                                    <a:pt x="1410176" y="2317909"/>
                                    <a:pt x="2934176" y="1484471"/>
                                  </a:cubicBezTo>
                                  <a:cubicBezTo>
                                    <a:pt x="4459129" y="651986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16997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ADE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7144" y="-7144"/>
                              <a:ext cx="6000750" cy="904875"/>
                            </a:xfrm>
                            <a:custGeom>
                              <a:rect b="b" l="l" r="r" t="t"/>
                              <a:pathLst>
                                <a:path extrusionOk="0" h="904875" w="6000750">
                                  <a:moveTo>
                                    <a:pt x="7144" y="7144"/>
                                  </a:moveTo>
                                  <a:lnTo>
                                    <a:pt x="7144" y="613886"/>
                                  </a:lnTo>
                                  <a:cubicBezTo>
                                    <a:pt x="647224" y="1034891"/>
                                    <a:pt x="2136934" y="964406"/>
                                    <a:pt x="3546634" y="574834"/>
                                  </a:cubicBezTo>
                                  <a:cubicBezTo>
                                    <a:pt x="4882039" y="205264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1CADE4"/>
                                </a:gs>
                                <a:gs pos="100000">
                                  <a:srgbClr val="76CEEF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176111" y="924401"/>
                              <a:ext cx="2819400" cy="828675"/>
                            </a:xfrm>
                            <a:custGeom>
                              <a:rect b="b" l="l" r="r" t="t"/>
                              <a:pathLst>
                                <a:path extrusionOk="0" h="828675" w="2819400">
                                  <a:moveTo>
                                    <a:pt x="7144" y="481489"/>
                                  </a:moveTo>
                                  <a:cubicBezTo>
                                    <a:pt x="380524" y="602456"/>
                                    <a:pt x="751999" y="764381"/>
                                    <a:pt x="1305401" y="812959"/>
                                  </a:cubicBezTo>
                                  <a:cubicBezTo>
                                    <a:pt x="2325529" y="902494"/>
                                    <a:pt x="2815114" y="428149"/>
                                    <a:pt x="2815114" y="428149"/>
                                  </a:cubicBezTo>
                                  <a:lnTo>
                                    <a:pt x="2815114" y="7144"/>
                                  </a:lnTo>
                                  <a:cubicBezTo>
                                    <a:pt x="2332196" y="236696"/>
                                    <a:pt x="1376839" y="568166"/>
                                    <a:pt x="7144" y="481489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2683C6"/>
                                </a:gs>
                                <a:gs pos="100000">
                                  <a:srgbClr val="1C6294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-457833</wp:posOffset>
                </wp:positionV>
                <wp:extent cx="8247380" cy="214122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47380" cy="21412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790.0" w:type="dxa"/>
        <w:jc w:val="center"/>
        <w:tblLayout w:type="fixed"/>
        <w:tblLook w:val="06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rHeight w:val="8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ind w:right="720"/>
              <w:rPr>
                <w:rFonts w:ascii="Twentieth Century" w:cs="Twentieth Century" w:eastAsia="Twentieth Century" w:hAnsi="Twentieth Century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tabs>
                <w:tab w:val="left" w:leader="none" w:pos="1800"/>
              </w:tabs>
              <w:spacing w:after="0" w:before="40" w:line="240" w:lineRule="auto"/>
              <w:ind w:right="72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TOP Semináře s.r.o.,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Vzdělávací agentura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Akreditace programů MPSV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1125"/>
                <w:tab w:val="left" w:leader="none" w:pos="1800"/>
                <w:tab w:val="center" w:leader="none" w:pos="5097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Akreditovaná vzdělávací instituce MVČR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Zátiší 476/12, Ostrava – Svinov, 721 00</w:t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074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IČ: 06546897 </w:t>
            </w:r>
          </w:p>
          <w:p w:rsidR="00000000" w:rsidDel="00000000" w:rsidP="00000000" w:rsidRDefault="00000000" w:rsidRPr="00000000" w14:paraId="00000008">
            <w:pPr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Mobil:602 707 481, E-mail: info@topseminare.cz</w:t>
            </w:r>
          </w:p>
          <w:p w:rsidR="00000000" w:rsidDel="00000000" w:rsidP="00000000" w:rsidRDefault="00000000" w:rsidRPr="00000000" w14:paraId="00000009">
            <w:pPr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více informací na: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www.topseminare.cz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left="720" w:right="720" w:firstLine="0"/>
              <w:rPr>
                <w:rFonts w:ascii="Twentieth Century" w:cs="Twentieth Century" w:eastAsia="Twentieth Century" w:hAnsi="Twentieth Century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36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40" w:before="840" w:line="240" w:lineRule="auto"/>
        <w:ind w:left="720" w:right="720" w:firstLine="0"/>
        <w:rPr>
          <w:rFonts w:ascii="Twentieth Century" w:cs="Twentieth Century" w:eastAsia="Twentieth Century" w:hAnsi="Twentieth Century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sz w:val="20"/>
          <w:szCs w:val="20"/>
          <w:rtl w:val="0"/>
        </w:rPr>
        <w:t xml:space="preserve">si Vás dovolujeme pozvat na seminář</w:t>
      </w:r>
    </w:p>
    <w:p w:rsidR="00000000" w:rsidDel="00000000" w:rsidP="00000000" w:rsidRDefault="00000000" w:rsidRPr="00000000" w14:paraId="0000000E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color w:val="3366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b w:val="1"/>
          <w:color w:val="4472c4"/>
          <w:sz w:val="40"/>
          <w:szCs w:val="40"/>
        </w:rPr>
      </w:pPr>
      <w:r w:rsidDel="00000000" w:rsidR="00000000" w:rsidRPr="00000000">
        <w:rPr>
          <w:b w:val="1"/>
          <w:color w:val="4472c4"/>
          <w:sz w:val="40"/>
          <w:szCs w:val="40"/>
          <w:rtl w:val="0"/>
        </w:rPr>
        <w:t xml:space="preserve">„Vybraná témata problematiky domácího násilí – děti jako osoby ohrožené domácím násilím“</w:t>
      </w:r>
    </w:p>
    <w:p w:rsidR="00000000" w:rsidDel="00000000" w:rsidP="00000000" w:rsidRDefault="00000000" w:rsidRPr="00000000" w14:paraId="00000012">
      <w:pPr>
        <w:spacing w:after="36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36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b w:val="1"/>
          <w:color w:val="7030a0"/>
          <w:sz w:val="24"/>
          <w:szCs w:val="24"/>
        </w:rPr>
      </w:pPr>
      <w:r w:rsidDel="00000000" w:rsidR="00000000" w:rsidRPr="00000000">
        <w:rPr>
          <w:b w:val="1"/>
          <w:color w:val="7030a0"/>
          <w:sz w:val="24"/>
          <w:szCs w:val="24"/>
          <w:rtl w:val="0"/>
        </w:rPr>
        <w:t xml:space="preserve">Akreditace MPSV:</w:t>
      </w:r>
      <w:r w:rsidDel="00000000" w:rsidR="00000000" w:rsidRPr="00000000">
        <w:rPr>
          <w:color w:val="7030a0"/>
          <w:sz w:val="24"/>
          <w:szCs w:val="24"/>
          <w:rtl w:val="0"/>
        </w:rPr>
        <w:t xml:space="preserve"> „</w:t>
      </w:r>
      <w:r w:rsidDel="00000000" w:rsidR="00000000" w:rsidRPr="00000000">
        <w:rPr>
          <w:color w:val="7030a0"/>
          <w:rtl w:val="0"/>
        </w:rPr>
        <w:t xml:space="preserve">Vybraná témata problematiky domácího násilí – děti jako osoby ohrožené domácím násilím</w:t>
      </w:r>
      <w:r w:rsidDel="00000000" w:rsidR="00000000" w:rsidRPr="00000000">
        <w:rPr>
          <w:color w:val="7030a0"/>
          <w:sz w:val="24"/>
          <w:szCs w:val="24"/>
          <w:rtl w:val="0"/>
        </w:rPr>
        <w:t xml:space="preserve">“ Číslo akreditace A2023/1634-SP/PC</w:t>
      </w:r>
      <w:r w:rsidDel="00000000" w:rsidR="00000000" w:rsidRPr="00000000">
        <w:rPr>
          <w:b w:val="1"/>
          <w:color w:val="7030a0"/>
          <w:sz w:val="24"/>
          <w:szCs w:val="24"/>
          <w:rtl w:val="0"/>
        </w:rPr>
        <w:t xml:space="preserve">. </w:t>
      </w:r>
      <w:r w:rsidDel="00000000" w:rsidR="00000000" w:rsidRPr="00000000">
        <w:rPr>
          <w:color w:val="7030a0"/>
          <w:sz w:val="24"/>
          <w:szCs w:val="24"/>
          <w:rtl w:val="0"/>
        </w:rPr>
        <w:t xml:space="preserve">(8. hodin)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b w:val="1"/>
          <w:color w:val="4472c4"/>
          <w:sz w:val="24"/>
          <w:szCs w:val="24"/>
        </w:rPr>
      </w:pPr>
      <w:r w:rsidDel="00000000" w:rsidR="00000000" w:rsidRPr="00000000">
        <w:rPr>
          <w:b w:val="1"/>
          <w:color w:val="4472c4"/>
          <w:sz w:val="24"/>
          <w:szCs w:val="24"/>
          <w:rtl w:val="0"/>
        </w:rPr>
        <w:t xml:space="preserve">Akreditace MVČR: (program vypracovaný dle zákona č. 312/2002 Sb., o úřednících ÚSC v aktuálním znění. (8 hodin)) Akreditace vzdělávací instituce AK/I-53/2017 (videokurz)</w:t>
      </w:r>
    </w:p>
    <w:p w:rsidR="00000000" w:rsidDel="00000000" w:rsidP="00000000" w:rsidRDefault="00000000" w:rsidRPr="00000000" w14:paraId="00000016">
      <w:pPr>
        <w:spacing w:after="0" w:line="240" w:lineRule="auto"/>
        <w:rPr>
          <w:b w:val="1"/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08.0" w:type="dxa"/>
        <w:jc w:val="left"/>
        <w:tblInd w:w="15.0" w:type="dxa"/>
        <w:tblLayout w:type="fixed"/>
        <w:tblLook w:val="0400"/>
      </w:tblPr>
      <w:tblGrid>
        <w:gridCol w:w="3513"/>
        <w:gridCol w:w="7195"/>
        <w:tblGridChange w:id="0">
          <w:tblGrid>
            <w:gridCol w:w="3513"/>
            <w:gridCol w:w="7195"/>
          </w:tblGrid>
        </w:tblGridChange>
      </w:tblGrid>
      <w:tr>
        <w:trPr>
          <w:cantSplit w:val="0"/>
          <w:trHeight w:val="642" w:hRule="atLeast"/>
          <w:tblHeader w:val="0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shd w:fill="00a4de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Vybraná témata problematiky domácího násilí – děti jako osoby ohrožené domácím násilím</w:t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Akreditace: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rtl w:val="0"/>
              </w:rPr>
              <w:t xml:space="preserve">MPSV: </w:t>
            </w:r>
            <w:r w:rsidDel="00000000" w:rsidR="00000000" w:rsidRPr="00000000">
              <w:rPr>
                <w:color w:val="7030a0"/>
                <w:rtl w:val="0"/>
              </w:rPr>
              <w:t xml:space="preserve">A2023/1634-SP/PC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rtl w:val="0"/>
              </w:rPr>
              <w:t xml:space="preserve"> (8. hodin) kombinovaná forma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rtl w:val="0"/>
              </w:rPr>
              <w:t xml:space="preserve">MVČR: </w:t>
            </w:r>
            <w:r w:rsidDel="00000000" w:rsidR="00000000" w:rsidRPr="00000000">
              <w:rPr>
                <w:color w:val="4472c4"/>
                <w:rtl w:val="0"/>
              </w:rPr>
              <w:t xml:space="preserve">(program vypracovaný dle zákona č. 312/2002 Sb., o úřednících ÚSC v aktuálním znění. (8 hodin)) Akreditace vzdělávací instituce AK/I-53/2017 (videokurz)</w:t>
            </w:r>
            <w:r w:rsidDel="00000000" w:rsidR="00000000" w:rsidRPr="00000000">
              <w:rPr>
                <w:rFonts w:ascii="Calibri" w:cs="Calibri" w:eastAsia="Calibri" w:hAnsi="Calibri"/>
                <w:color w:val="4472c4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Variabilní symbol: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20259002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Přednáší: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PhDr., Mgr.</w:t>
            </w:r>
            <w:r w:rsidDel="00000000" w:rsidR="00000000" w:rsidRPr="00000000">
              <w:rPr>
                <w:color w:val="00008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Lucie Paprsteinová </w:t>
            </w:r>
            <w:r w:rsidDel="00000000" w:rsidR="00000000" w:rsidRPr="00000000">
              <w:rPr>
                <w:color w:val="00008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Bílý kruh bezpečí Ostrava, od roku 2008 dosud-vedoucí sociální služby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 Zkušená lektorka.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Termín konání: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23.9. 2025 (úterý) od 9,00 hod.</w:t>
            </w:r>
            <w:r w:rsidDel="00000000" w:rsidR="00000000" w:rsidRPr="00000000">
              <w:rPr>
                <w:color w:val="00206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(prezence od 8,30hod – 9,00 hod.)</w:t>
              <w:br w:type="textWrapping"/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Místo konání: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Střední škola prof. Zdeňka Matějíčka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17. listopadu 1123/70, 708 00, Ostrava-Poruba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Cena: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00000"/>
                <w:sz w:val="24"/>
                <w:szCs w:val="24"/>
                <w:rtl w:val="0"/>
              </w:rPr>
              <w:t xml:space="preserve">1 990 Kč / osoba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Organizace: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TOP. Semináře s.r.o.  IČ: 06546897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color w:val="595959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b0f0"/>
          <w:sz w:val="24"/>
          <w:szCs w:val="24"/>
          <w:rtl w:val="0"/>
        </w:rPr>
        <w:t xml:space="preserve">OBSAH:</w:t>
      </w:r>
      <w:r w:rsidDel="00000000" w:rsidR="00000000" w:rsidRPr="00000000">
        <w:rPr>
          <w:rFonts w:ascii="Arial" w:cs="Arial" w:eastAsia="Arial" w:hAnsi="Arial"/>
          <w:color w:val="59595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hd w:fill="ffffff" w:val="clear"/>
        <w:spacing w:after="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  <w:rtl w:val="0"/>
        </w:rPr>
        <w:t xml:space="preserve">Základy problematiky domácího násilí: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  <w:rtl w:val="0"/>
        </w:rPr>
        <w:t xml:space="preserve">základní pojmy. Formy, znaky a příčiny domácího násilí apod. Dynamika násilných   soužití. Osoba ohrožená. Osoba násilná.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  <w:rtl w:val="0"/>
        </w:rPr>
        <w:t xml:space="preserve">Děti jako osoby ohrožené domácím násilím: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  <w:rtl w:val="0"/>
        </w:rPr>
        <w:t xml:space="preserve">role dětí v násilném soužití. Jejich chování, prožívání, věkové kategorie. Děti jako násilné osoby. Syndrom CAN- syndrom týraného, zneužívaného a zanedbávaného dítěte.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  <w:rtl w:val="0"/>
        </w:rPr>
        <w:t xml:space="preserve">Dopady násilného soužití na děti: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  <w:rtl w:val="0"/>
        </w:rPr>
        <w:t xml:space="preserve"> vývoj dítěte. Dopady domácího násilí na dítě v důsledku vývojového stádia. Jeho formování. Trans generační přenos.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  <w:rtl w:val="0"/>
        </w:rPr>
        <w:t xml:space="preserve">Diskuze nad konkrétními případy: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  <w:rtl w:val="0"/>
        </w:rPr>
        <w:t xml:space="preserve">vybrané kazuistiky. Rozbor konkrétních případů. Možnosti komunikace s dětmi ohroženými domácím násilím.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  <w:rtl w:val="0"/>
        </w:rPr>
        <w:t xml:space="preserve">Pomoc pro dětské oběti domácího násilí: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  <w:rtl w:val="0"/>
        </w:rPr>
        <w:t xml:space="preserve">místa pomoci v ČR. Možnosti spolupráce napříč institucemi. Další místa pomoci pro ohrožené děti: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  <w:rtl w:val="0"/>
        </w:rPr>
        <w:t xml:space="preserve">Krizová centra pro děti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  <w:rtl w:val="0"/>
        </w:rPr>
        <w:t xml:space="preserve">Sociálně aktivizační služby pro rodiny s dětmi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  <w:rtl w:val="0"/>
        </w:rPr>
        <w:t xml:space="preserve">Centra psychologické pomoci (CEPP)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  <w:rtl w:val="0"/>
        </w:rPr>
        <w:t xml:space="preserve">Terapeutická pomoc pro dětské oběti trestných činů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  <w:rtl w:val="0"/>
        </w:rPr>
        <w:t xml:space="preserve">Kliničtí psychologové/psychiatři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  <w:rtl w:val="0"/>
        </w:rPr>
        <w:t xml:space="preserve">Poradny pro oběti trestných činů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  <w:rtl w:val="0"/>
        </w:rPr>
        <w:t xml:space="preserve">Závěr: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  <w:rtl w:val="0"/>
        </w:rPr>
        <w:t xml:space="preserve">shrnutí problematiky diskuse </w:t>
      </w:r>
    </w:p>
    <w:p w:rsidR="00000000" w:rsidDel="00000000" w:rsidP="00000000" w:rsidRDefault="00000000" w:rsidRPr="00000000" w14:paraId="0000003F">
      <w:pPr>
        <w:spacing w:after="0" w:before="40" w:line="240" w:lineRule="auto"/>
        <w:ind w:left="720" w:right="720" w:firstLine="0"/>
        <w:jc w:val="both"/>
        <w:rPr>
          <w:rFonts w:ascii="Times New Roman" w:cs="Times New Roman" w:eastAsia="Times New Roman" w:hAnsi="Times New Roman"/>
          <w:b w:val="1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  <w:rtl w:val="0"/>
        </w:rPr>
        <w:t xml:space="preserve">Součástí ceny je osvědčení o absolvování semináře, materiály k tématu v elektronické podobě a občerstvení, které sestává z nealkoholických nápojů, drobného občerstvení v průběhu školení a rautového oběda.</w:t>
      </w:r>
    </w:p>
    <w:p w:rsidR="00000000" w:rsidDel="00000000" w:rsidP="00000000" w:rsidRDefault="00000000" w:rsidRPr="00000000" w14:paraId="00000041">
      <w:pPr>
        <w:jc w:val="both"/>
        <w:rPr>
          <w:i w:val="1"/>
          <w:color w:val="00b0f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3330"/>
        </w:tabs>
        <w:ind w:right="-153"/>
        <w:jc w:val="both"/>
        <w:rPr>
          <w:b w:val="1"/>
          <w:color w:val="00b0f0"/>
          <w:sz w:val="20"/>
          <w:szCs w:val="20"/>
        </w:rPr>
      </w:pPr>
      <w:r w:rsidDel="00000000" w:rsidR="00000000" w:rsidRPr="00000000">
        <w:rPr>
          <w:b w:val="1"/>
          <w:color w:val="00b0f0"/>
          <w:sz w:val="20"/>
          <w:szCs w:val="20"/>
          <w:rtl w:val="0"/>
        </w:rPr>
        <w:t xml:space="preserve">Jak se přihlásit:  </w:t>
        <w:tab/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3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Zaplaťte účastnický poplatek a vyplňte přihlašovací formulář, prostřednictvím našich webových stránek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www.topseminare.cz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Úředníci ÚSC mohou realizovat platbu za seminář až po obdržení faktury po semináři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Nejasnosti a dotazy rádi vyřídíme telefonicky či emailem (kontakty viz výše nebo na webových stránkách).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 lhůtě tři dny a méně před konáním akce není možné zrušit účast na semináři. Kdykoli je možné nahlásit náhradníka na </w:t>
      </w:r>
      <w:hyperlink r:id="rId10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info@topseminare.cz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4">
      <w:pPr>
        <w:ind w:right="-153"/>
        <w:jc w:val="both"/>
        <w:rPr>
          <w:b w:val="1"/>
          <w:color w:val="00b0f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right="-153"/>
        <w:jc w:val="both"/>
        <w:rPr>
          <w:b w:val="1"/>
          <w:color w:val="00b0f0"/>
          <w:sz w:val="20"/>
          <w:szCs w:val="20"/>
        </w:rPr>
      </w:pPr>
      <w:r w:rsidDel="00000000" w:rsidR="00000000" w:rsidRPr="00000000">
        <w:rPr>
          <w:b w:val="1"/>
          <w:color w:val="00b0f0"/>
          <w:sz w:val="20"/>
          <w:szCs w:val="20"/>
          <w:rtl w:val="0"/>
        </w:rPr>
        <w:t xml:space="preserve">Zaplacení a smluvní podmínky: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Úhradu semináře proveďte na náš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účet č. 5000500032/5500 Raiffeisen Bank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neopomeňte uvést správný variabilní symbol. Daňový doklad obdrží účastníci v den konání semináře. V případě neúčasti se vložné nevrací, ale je možné poslat náhradníka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40" w:line="240" w:lineRule="auto"/>
        <w:ind w:left="720" w:right="720" w:firstLine="0"/>
        <w:jc w:val="both"/>
        <w:rPr>
          <w:i w:val="1"/>
          <w:color w:val="00b0f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40" w:line="240" w:lineRule="auto"/>
        <w:ind w:left="720" w:right="720" w:firstLine="0"/>
        <w:jc w:val="both"/>
        <w:rPr>
          <w:rFonts w:ascii="Times New Roman" w:cs="Times New Roman" w:eastAsia="Times New Roman" w:hAnsi="Times New Roman"/>
          <w:b w:val="1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36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40" w:line="240" w:lineRule="auto"/>
        <w:ind w:left="720" w:right="720" w:firstLine="0"/>
        <w:rPr>
          <w:rFonts w:ascii="Twentieth Century" w:cs="Twentieth Century" w:eastAsia="Twentieth Century" w:hAnsi="Twentieth Century"/>
          <w:b w:val="1"/>
          <w:color w:val="1cade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rebuchet MS"/>
  <w:font w:name="Times New Roman"/>
  <w:font w:name="Courier New"/>
  <w:font w:name="Twentieth Century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mailto:info@topseminare.cz" TargetMode="External"/><Relationship Id="rId13" Type="http://schemas.openxmlformats.org/officeDocument/2006/relationships/header" Target="head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topseminare.cz" TargetMode="Externa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maps.app.goo.gl/airnnwwr3cwZ4MUA8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