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4472c4"/>
          <w:sz w:val="44"/>
          <w:szCs w:val="44"/>
        </w:rPr>
      </w:pPr>
      <w:r w:rsidDel="00000000" w:rsidR="00000000" w:rsidRPr="00000000">
        <w:rPr>
          <w:b w:val="1"/>
          <w:color w:val="4472c4"/>
          <w:sz w:val="44"/>
          <w:szCs w:val="44"/>
          <w:rtl w:val="0"/>
        </w:rPr>
        <w:t xml:space="preserve">„Kurátoři pro děti a mládež v systému sociálně-právní ochrany dětí“</w:t>
      </w:r>
    </w:p>
    <w:p w:rsidR="00000000" w:rsidDel="00000000" w:rsidP="00000000" w:rsidRDefault="00000000" w:rsidRPr="00000000" w14:paraId="00000013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Akreditace MPSV: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 „</w:t>
      </w:r>
      <w:r w:rsidDel="00000000" w:rsidR="00000000" w:rsidRPr="00000000">
        <w:rPr>
          <w:b w:val="1"/>
          <w:color w:val="7030a0"/>
          <w:rtl w:val="0"/>
        </w:rPr>
        <w:t xml:space="preserve">Kurátoři pro děti a mládež v systému sociálně-právní ochrany dětí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“ Číslo akreditace: </w:t>
      </w:r>
      <w:r w:rsidDel="00000000" w:rsidR="00000000" w:rsidRPr="00000000">
        <w:rPr>
          <w:color w:val="7030a0"/>
          <w:rtl w:val="0"/>
        </w:rPr>
        <w:t xml:space="preserve">A2023/1636-SP</w:t>
      </w: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4472c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Akreditace MVČR: </w:t>
      </w:r>
      <w:r w:rsidDel="00000000" w:rsidR="00000000" w:rsidRPr="00000000">
        <w:rPr>
          <w:b w:val="1"/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Kurátoři pro děti a mládež v systému sociálně-právní ochrany dětí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color w:val="7030a0"/>
                <w:rtl w:val="0"/>
              </w:rPr>
              <w:t xml:space="preserve">A2023/1636-SP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 (8. hodin) kombinovaná forma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202511012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Mgr. David Karl</w:t>
            </w:r>
            <w:r w:rsidDel="00000000" w:rsidR="00000000" w:rsidRPr="00000000">
              <w:rPr>
                <w:rFonts w:ascii="Calibri" w:cs="Calibri" w:eastAsia="Calibri" w:hAnsi="Calibri"/>
                <w:color w:val="000080"/>
                <w:sz w:val="24"/>
                <w:szCs w:val="24"/>
                <w:rtl w:val="0"/>
              </w:rPr>
              <w:t xml:space="preserve"> 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vedoucí oddělení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pro ohrožené děti, mládež a náhradní rodinnou péči Městská část Pra Praha 8,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místopředseda výboru profesní komory sociálně-právní ochrany dětí, lektor.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28.11. 2025 (pátek) od 9.00,00 hod.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Úvod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Představení lektora a jeho působení v dané problematice, vzájemné představení účastníků a jejich působení v oblasti sociální práce, seznámení s programem a přestávkami.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Vhled do zákona o sociálně-právní ochraně dětí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§6 zákona o sociálně-právní ochraně dětí, hlava VI – ústavní a ochranná výchova, hlava VII – děti vyžadující zvýšenou pozornost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Nástroje pro práci kurátora pro děti a mládež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Nástroje pro dosažení plánovaných cílů vycházejících ze zákona o sociálně-právní ochraně dětí.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Vhled do zákona o výkonu ústavní a ochranné výchovy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Ústavní a ochranná výchova, její aplikace a využití v rámci kurately pro děti a mládež, hlava II, hlava III., tj. jednotlivá zařízení, jejich rozdíl a určení a pod hlavou III. střediska.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Aktuální trendy v oblasti ústavní výchovy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Ústavní a ochranná výchova z pohledu aktuálních trendů a novely zákona 359/1999Sb o sociálně-právní ochraně dětí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Multidisciplinární spolupráce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Management případu a zapojení státních i nestátních organizací ve prospěch nezletilého.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Kazuistická část případů z oblasti kurately pro děti a mládež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Kazuistika ukáže konkrétní případ z praxe s přesahem zákonných nástrojů zmiňovaných v předchozích částech díky čemu účastník získá ukotvení získaných znalostí s propojením do praxe.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Závěr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Stručné shrnutí získaných dovedností a znalostí, zpětná vazba od účastníků a lektora, zhodnocení splnění osobních cílů a očekávání účastníků.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 a rautového občerstvení v průběhu školení.</w:t>
      </w:r>
    </w:p>
    <w:p w:rsidR="00000000" w:rsidDel="00000000" w:rsidP="00000000" w:rsidRDefault="00000000" w:rsidRPr="00000000" w14:paraId="00000042">
      <w:pPr>
        <w:tabs>
          <w:tab w:val="left" w:leader="none" w:pos="3330"/>
        </w:tabs>
        <w:ind w:right="-153"/>
        <w:jc w:val="both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</w:t>
      </w:r>
      <w:r w:rsidDel="00000000" w:rsidR="00000000" w:rsidRPr="00000000">
        <w:rPr>
          <w:b w:val="1"/>
          <w:color w:val="00b0f0"/>
          <w:rtl w:val="0"/>
        </w:rPr>
        <w:t xml:space="preserve">  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6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účet č. 5000500032/5500 Raiffeisen Bank</w:t>
      </w:r>
      <w:r w:rsidDel="00000000" w:rsidR="00000000" w:rsidRPr="00000000">
        <w:rPr>
          <w:sz w:val="20"/>
          <w:szCs w:val="20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Verdana"/>
  <w:font w:name="Times New Roman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