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-457197</wp:posOffset>
                </wp:positionH>
                <wp:positionV relativeFrom="paragraph">
                  <wp:posOffset>-457197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400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95" cy="2141220"/>
                            <a:chOff x="1222300" y="2709375"/>
                            <a:chExt cx="8247390" cy="2141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22300" y="2709375"/>
                              <a:ext cx="8247375" cy="214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22310" y="2709390"/>
                              <a:ext cx="8247380" cy="2141220"/>
                              <a:chOff x="-7144" y="-7144"/>
                              <a:chExt cx="6005513" cy="19240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7144" y="-7144"/>
                                <a:ext cx="6005500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121694" y="-7144"/>
                                <a:ext cx="3876675" cy="1762125"/>
                              </a:xfrm>
                              <a:custGeom>
                                <a:rect b="b" l="l" r="r" t="t"/>
                                <a:pathLst>
                                  <a:path extrusionOk="0" h="1762125" w="3876675">
                                    <a:moveTo>
                                      <a:pt x="3869531" y="1359694"/>
                                    </a:moveTo>
                                    <a:cubicBezTo>
                                      <a:pt x="3869531" y="1359694"/>
                                      <a:pt x="3379946" y="1834039"/>
                                      <a:pt x="2359819" y="1744504"/>
                                    </a:cubicBezTo>
                                    <a:cubicBezTo>
                                      <a:pt x="1339691" y="1654969"/>
                                      <a:pt x="936784" y="1180624"/>
                                      <a:pt x="7144" y="1287304"/>
                                    </a:cubicBezTo>
                                    <a:lnTo>
                                      <a:pt x="7144" y="7144"/>
                                    </a:lnTo>
                                    <a:lnTo>
                                      <a:pt x="3869531" y="7144"/>
                                    </a:lnTo>
                                    <a:lnTo>
                                      <a:pt x="3869531" y="13596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83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-7144" y="-7144"/>
                                <a:ext cx="6000750" cy="1924050"/>
                              </a:xfrm>
                              <a:custGeom>
                                <a:rect b="b" l="l" r="r" t="t"/>
                                <a:pathLst>
                                  <a:path extrusionOk="0" h="1924050" w="6000750">
                                    <a:moveTo>
                                      <a:pt x="7144" y="1699736"/>
                                    </a:moveTo>
                                    <a:cubicBezTo>
                                      <a:pt x="7144" y="1699736"/>
                                      <a:pt x="1410176" y="2317909"/>
                                      <a:pt x="2934176" y="1484471"/>
                                    </a:cubicBezTo>
                                    <a:cubicBezTo>
                                      <a:pt x="4459129" y="651986"/>
                                      <a:pt x="5998369" y="893921"/>
                                      <a:pt x="5998369" y="893921"/>
                                    </a:cubicBezTo>
                                    <a:lnTo>
                                      <a:pt x="5998369" y="7144"/>
                                    </a:lnTo>
                                    <a:lnTo>
                                      <a:pt x="7144" y="7144"/>
                                    </a:lnTo>
                                    <a:lnTo>
                                      <a:pt x="7144" y="16997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AD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7144" y="-7144"/>
                                <a:ext cx="6000750" cy="904875"/>
                              </a:xfrm>
                              <a:custGeom>
                                <a:rect b="b" l="l" r="r" t="t"/>
                                <a:pathLst>
                                  <a:path extrusionOk="0" h="904875" w="6000750">
                                    <a:moveTo>
                                      <a:pt x="7144" y="7144"/>
                                    </a:moveTo>
                                    <a:lnTo>
                                      <a:pt x="7144" y="613886"/>
                                    </a:lnTo>
                                    <a:cubicBezTo>
                                      <a:pt x="647224" y="1034891"/>
                                      <a:pt x="2136934" y="964406"/>
                                      <a:pt x="3546634" y="574834"/>
                                    </a:cubicBezTo>
                                    <a:cubicBezTo>
                                      <a:pt x="4882039" y="205264"/>
                                      <a:pt x="5998369" y="893921"/>
                                      <a:pt x="5998369" y="893921"/>
                                    </a:cubicBezTo>
                                    <a:lnTo>
                                      <a:pt x="5998369" y="7144"/>
                                    </a:ln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1CADE4"/>
                                  </a:gs>
                                  <a:gs pos="100000">
                                    <a:srgbClr val="76CEEF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176111" y="924401"/>
                                <a:ext cx="2819400" cy="828675"/>
                              </a:xfrm>
                              <a:custGeom>
                                <a:rect b="b" l="l" r="r" t="t"/>
                                <a:pathLst>
                                  <a:path extrusionOk="0" h="828675" w="2819400">
                                    <a:moveTo>
                                      <a:pt x="7144" y="481489"/>
                                    </a:moveTo>
                                    <a:cubicBezTo>
                                      <a:pt x="380524" y="602456"/>
                                      <a:pt x="751999" y="764381"/>
                                      <a:pt x="1305401" y="812959"/>
                                    </a:cubicBezTo>
                                    <a:cubicBezTo>
                                      <a:pt x="2325529" y="902494"/>
                                      <a:pt x="2815114" y="428149"/>
                                      <a:pt x="2815114" y="428149"/>
                                    </a:cubicBezTo>
                                    <a:lnTo>
                                      <a:pt x="2815114" y="7144"/>
                                    </a:lnTo>
                                    <a:cubicBezTo>
                                      <a:pt x="2332196" y="236696"/>
                                      <a:pt x="1376839" y="568166"/>
                                      <a:pt x="7144" y="481489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2683C6"/>
                                  </a:gs>
                                  <a:gs pos="100000">
                                    <a:srgbClr val="1C629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-457197</wp:posOffset>
                </wp:positionH>
                <wp:positionV relativeFrom="paragraph">
                  <wp:posOffset>-457197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4472c4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44"/>
          <w:szCs w:val="44"/>
          <w:rtl w:val="0"/>
        </w:rPr>
        <w:t xml:space="preserve">„Styk dítěte v pěstounské péči, v ústavní výchově, a v zařízeních pro děti vyžadující okamžitou pomoc s biologickým rodičem-základní informace“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mo" w:cs="Arimo" w:eastAsia="Arimo" w:hAnsi="Arimo"/>
          <w:b w:val="1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Styk dítěte v pěstounské péči, v ústavní výchově, a v zařízeních pro děti vyžadující okamžitou pomoc s biologickým rodičem-základní informace.  Akreditace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požádáno o novou akreditaci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(8. hodin)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985"/>
        <w:gridCol w:w="6723"/>
        <w:tblGridChange w:id="0">
          <w:tblGrid>
            <w:gridCol w:w="3985"/>
            <w:gridCol w:w="6723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Styk dítěte v pěstounské péči, v ústavní výchově, a v zařízeních pro děti vyžadující okamžitou pomoc s biologickým rodičem-základní informace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MPSV: A2025/0018-SP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202510038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Mgr. et Mgr. Martin Doležal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, SWE (Social Work England), člen Profesní komory sociálně-právní ochrany dětí (PKSPOD)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16.10. 2025 (čtvrtek) od 9.00,00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Úvod</w:t>
      </w:r>
    </w:p>
    <w:p w:rsidR="00000000" w:rsidDel="00000000" w:rsidP="00000000" w:rsidRDefault="00000000" w:rsidRPr="00000000" w14:paraId="0000002B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Představení tématu, základní pojmy.</w:t>
      </w:r>
    </w:p>
    <w:p w:rsidR="00000000" w:rsidDel="00000000" w:rsidP="00000000" w:rsidRDefault="00000000" w:rsidRPr="00000000" w14:paraId="0000002C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Vstup do problematiky mezinárodních dokumentů vztahujících a se k problematice styku dítěte s biologickým rodičem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Úmluva o právech dítěte a judikatura Evropského soudu pro lidská práva (ESLP) v otázce styku dítěte s biologickým rodičem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Občanský zákoník a judikatura soudů v otázce styku dítěte s biologickým rodičem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Asistovaný styk s dítětem</w:t>
      </w:r>
    </w:p>
    <w:p w:rsidR="00000000" w:rsidDel="00000000" w:rsidP="00000000" w:rsidRDefault="00000000" w:rsidRPr="00000000" w14:paraId="00000031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pěstounské péči s biologickým rodičem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pěstounů ze zákona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pověřené osoby a standardy kvality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Styk dítěte s rodičem ve výkonu trestu odnětí svobody</w:t>
      </w:r>
    </w:p>
    <w:p w:rsidR="00000000" w:rsidDel="00000000" w:rsidP="00000000" w:rsidRDefault="00000000" w:rsidRPr="00000000" w14:paraId="00000036">
      <w:pPr>
        <w:shd w:fill="ffffff" w:val="clear"/>
        <w:ind w:left="216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ústavní výchově s biologickým rodičem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Principy, za kterých probíhá pobyt dítěte v ústavní výchově ve vztahu ke kontaktu dítěte s biologickým rodičem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ústavního zařízení a standardy kvality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 OSPOD</w:t>
      </w:r>
    </w:p>
    <w:p w:rsidR="00000000" w:rsidDel="00000000" w:rsidP="00000000" w:rsidRDefault="00000000" w:rsidRPr="00000000" w14:paraId="0000003B">
      <w:pPr>
        <w:shd w:fill="ffffff" w:val="clear"/>
        <w:ind w:left="216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zařízeních pro děti vyžadující okamžitou pomoc s biologickým rodičem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288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zařízení pro děti vyžadující okamžitou pomoc a standardy      kvality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288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 OSPOD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Závěr</w:t>
      </w:r>
    </w:p>
    <w:p w:rsidR="00000000" w:rsidDel="00000000" w:rsidP="00000000" w:rsidRDefault="00000000" w:rsidRPr="00000000" w14:paraId="00000040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Souhrn problematiky, dotazy posluchačů</w:t>
      </w:r>
    </w:p>
    <w:p w:rsidR="00000000" w:rsidDel="00000000" w:rsidP="00000000" w:rsidRDefault="00000000" w:rsidRPr="00000000" w14:paraId="00000041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b0f0"/>
          <w:sz w:val="20"/>
          <w:szCs w:val="20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43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153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.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