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70c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44"/>
          <w:szCs w:val="44"/>
          <w:rtl w:val="0"/>
        </w:rPr>
        <w:t xml:space="preserve">„</w:t>
      </w:r>
      <w:r w:rsidDel="00000000" w:rsidR="00000000" w:rsidRPr="00000000">
        <w:rPr>
          <w:b w:val="1"/>
          <w:color w:val="0070c0"/>
          <w:sz w:val="44"/>
          <w:szCs w:val="44"/>
          <w:rtl w:val="0"/>
        </w:rPr>
        <w:t xml:space="preserve">Aktuální změny k vybraným dávkám sociálního zabezpečení – praktické postupy a modelové situace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44"/>
          <w:szCs w:val="44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60" w:before="40" w:line="240" w:lineRule="auto"/>
        <w:ind w:right="720"/>
        <w:jc w:val="center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0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rtl w:val="0"/>
        </w:rPr>
        <w:t xml:space="preserve">Aktuální změny k vybraným dávkám sociálního zabezpečení – praktické postupy a modelové situace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7030a0"/>
          <w:rtl w:val="0"/>
        </w:rPr>
        <w:t xml:space="preserve">A2023/0469-SP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(6.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MVČR: </w:t>
      </w:r>
      <w:r w:rsidDel="00000000" w:rsidR="00000000" w:rsidRPr="00000000">
        <w:rPr>
          <w:b w:val="1"/>
          <w:rtl w:val="0"/>
        </w:rPr>
        <w:t xml:space="preserve">Aktuální změny k vybraným dávkám sociálního zabezpečení – praktické postupy a modelové situace 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 (program vypracovaný dle zákona č. 312/2002 Sb., o úřednících ÚSC v aktuálním znění. (6 hodin) 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75.0" w:type="dxa"/>
        <w:tblLayout w:type="fixed"/>
        <w:tblLook w:val="0400"/>
      </w:tblPr>
      <w:tblGrid>
        <w:gridCol w:w="3600"/>
        <w:gridCol w:w="7200"/>
        <w:tblGridChange w:id="0">
          <w:tblGrid>
            <w:gridCol w:w="3600"/>
            <w:gridCol w:w="7200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Aktuální změny k vybraným dávkám sociálního zabezpečení – praktické postupy a modelové situace (videokurz)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rtl w:val="0"/>
              </w:rPr>
              <w:t xml:space="preserve">MPSV: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rtl w:val="0"/>
              </w:rPr>
              <w:t xml:space="preserve">A2023/0469-SP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rtl w:val="0"/>
              </w:rPr>
              <w:t xml:space="preserve"> (6. hodin) online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(6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202603006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Mgr. Zdeněk Živčák, MPA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linkedin.com/in/zdenek-zivcak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(Odborný lektor s bohatou praxí v dané oblasti, vedoucí odboru sociálních věcí a zdravotnictví Statutárního města Ostrava)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3.03. 2026 (úterý)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ON-LINE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bookmarkStart w:colFirst="0" w:colLast="0" w:name="_heading=h.ocicdwopezsn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V rámci kurzu se účastníci seznámí se systémem sociálního zabezpečení ČR a působností orgánů, které se na fungování systému podílí. Prezentovány budou základní nároky především na nepojistné sociální dávky se zohledněním aktuálních informací a změn. Účastníci budou dále upozorněni na problematické situace, které se při poskytování sociálně právního poradenství v návaznosti na sociální dávky ve vyšší míře vyskytují. Představeny a následně diskutovány budou kompetence obcí v rámci sociální práce, včetně spolupráce s dalšími subjekty zainteresovanými na řešení nepříznivé sociální situace klientů. Téma bude doplněno praktickými příklady, kazuistikami a diskusí nad jejich řešením. Kurz bude reagovat na aktuální legislativu a trendy v rámci výkonu sociální práce.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upevňují svoje znalosti o systému sociálního zabezpečení ČR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svoje znalosti o problematice přiznávání invalidních důchodů a aktuálních změnách v oblasti důchodového pojištění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svoje poznání v oblasti sociálních dávek v ČR</w:t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i w:val="1"/>
          <w:color w:val="00b0f0"/>
          <w:sz w:val="20"/>
          <w:szCs w:val="20"/>
          <w:rtl w:val="0"/>
        </w:rPr>
        <w:t xml:space="preserve">Součástí ceny je osvědčení o absolvování semináře, materiály k tématu v elektronické podobě. </w:t>
      </w:r>
    </w:p>
    <w:p w:rsidR="00000000" w:rsidDel="00000000" w:rsidP="00000000" w:rsidRDefault="00000000" w:rsidRPr="00000000" w14:paraId="00000034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ind w:right="-153"/>
        <w:rPr>
          <w:b w:val="1"/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www.topseminare.cz</w:t>
        </w:r>
      </w:hyperlink>
      <w:r w:rsidDel="00000000" w:rsidR="00000000" w:rsidRPr="00000000">
        <w:rPr>
          <w:color w:val="595959"/>
          <w:sz w:val="20"/>
          <w:szCs w:val="20"/>
          <w:rtl w:val="0"/>
        </w:rPr>
        <w:t xml:space="preserve"> .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info@topseminare.cz</w:t>
        </w:r>
      </w:hyperlink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spacing w:after="0" w:before="40" w:line="240" w:lineRule="auto"/>
        <w:ind w:left="720" w:right="-153" w:firstLine="0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8">
      <w:pPr>
        <w:spacing w:after="0" w:before="40" w:line="240" w:lineRule="auto"/>
        <w:ind w:right="-11"/>
        <w:jc w:val="both"/>
        <w:rPr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:rsidR="00000000" w:rsidDel="00000000" w:rsidP="00000000" w:rsidRDefault="00000000" w:rsidRPr="00000000" w14:paraId="00000039">
      <w:pPr>
        <w:spacing w:after="0" w:before="40" w:line="240" w:lineRule="auto"/>
        <w:ind w:left="720" w:right="720" w:firstLine="0"/>
        <w:jc w:val="both"/>
        <w:rPr>
          <w:rFonts w:ascii="Arial" w:cs="Arial" w:eastAsia="Arial" w:hAnsi="Arial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 w:val="1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C15B2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jIxWGppR5QMc+1his8MaZvZGg==">CgMxLjAyDmgub2NpY2R3b3BlenNuOAByITFJSXIwa0lGUk1DRVJaU3Zfa2FXVm1mWUtYTWFXSDRCcw==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2025-10-22T06:30:00Z</dcterms:created>
  <dc:creator>Josefína Staňková</dc:creator>
</cp:coreProperties>
</file>