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20FF59C5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409D2CCC" w:rsidR="007C6CBC" w:rsidRPr="00CA164E" w:rsidRDefault="007C6CBC" w:rsidP="00710BC5">
      <w:pPr>
        <w:jc w:val="center"/>
        <w:rPr>
          <w:b/>
          <w:color w:val="4472C4" w:themeColor="accent1"/>
          <w:sz w:val="44"/>
          <w:szCs w:val="44"/>
        </w:rPr>
      </w:pPr>
      <w:r w:rsidRPr="00CA164E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>„</w:t>
      </w:r>
      <w:r w:rsidR="0072362C" w:rsidRPr="00CA164E">
        <w:rPr>
          <w:rFonts w:ascii="Times New Roman" w:hAnsi="Times New Roman" w:cs="Times New Roman"/>
          <w:b/>
          <w:color w:val="4472C4" w:themeColor="accent1"/>
          <w:sz w:val="44"/>
          <w:szCs w:val="44"/>
        </w:rPr>
        <w:t>Problematika krizové intervence pro základní využití v rámci sociální práce</w:t>
      </w:r>
      <w:r w:rsidRPr="00CA164E">
        <w:rPr>
          <w:rFonts w:ascii="Times New Roman" w:eastAsia="Times New Roman" w:hAnsi="Times New Roman" w:cs="Arial"/>
          <w:b/>
          <w:color w:val="4472C4" w:themeColor="accent1"/>
          <w:kern w:val="0"/>
          <w:sz w:val="44"/>
          <w:szCs w:val="44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759E849B" w:rsidR="00141AA8" w:rsidRPr="0072362C" w:rsidRDefault="00141AA8" w:rsidP="00141AA8">
      <w:pPr>
        <w:rPr>
          <w:rStyle w:val="Zvraznn"/>
          <w:rFonts w:ascii="Arial" w:hAnsi="Arial" w:cs="Arial"/>
          <w:b/>
          <w:bCs/>
          <w:i w:val="0"/>
          <w:iCs w:val="0"/>
          <w:color w:val="7030A0"/>
          <w:sz w:val="24"/>
          <w:szCs w:val="24"/>
        </w:rPr>
      </w:pPr>
      <w:r w:rsidRPr="0072362C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72362C">
        <w:rPr>
          <w:rFonts w:ascii="Arial" w:hAnsi="Arial" w:cs="Arial"/>
          <w:color w:val="7030A0"/>
          <w:sz w:val="24"/>
          <w:szCs w:val="24"/>
        </w:rPr>
        <w:t>: „</w:t>
      </w:r>
      <w:r w:rsidR="0072362C" w:rsidRPr="0072362C">
        <w:rPr>
          <w:rFonts w:ascii="Times New Roman" w:hAnsi="Times New Roman" w:cs="Times New Roman"/>
          <w:color w:val="7030A0"/>
          <w:sz w:val="24"/>
          <w:szCs w:val="24"/>
        </w:rPr>
        <w:t xml:space="preserve">Problematika krizové intervence pro základní využití v rámci sociální práce    </w:t>
      </w:r>
      <w:r w:rsidRPr="0072362C">
        <w:rPr>
          <w:rFonts w:ascii="Arial" w:hAnsi="Arial" w:cs="Arial"/>
          <w:color w:val="7030A0"/>
          <w:sz w:val="24"/>
          <w:szCs w:val="24"/>
        </w:rPr>
        <w:t>“</w:t>
      </w:r>
      <w:r w:rsidRPr="0072362C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72362C" w:rsidRPr="0072362C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A2025/0934-SP/PC</w:t>
      </w:r>
      <w:r w:rsidR="0072362C" w:rsidRPr="0072362C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Pr="0072362C">
        <w:rPr>
          <w:rStyle w:val="Zvraznn"/>
          <w:rFonts w:ascii="Arial" w:hAnsi="Arial" w:cs="Arial"/>
          <w:color w:val="7030A0"/>
          <w:sz w:val="24"/>
          <w:szCs w:val="24"/>
        </w:rPr>
        <w:t>(</w:t>
      </w:r>
      <w:r w:rsidR="00AC3A43" w:rsidRPr="0072362C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72362C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72362C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72362C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72362C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46B4BC5A" w:rsidR="00827991" w:rsidRPr="0072362C" w:rsidRDefault="00141AA8" w:rsidP="00827991">
      <w:pPr>
        <w:rPr>
          <w:rFonts w:ascii="Arial" w:hAnsi="Arial" w:cs="Arial"/>
          <w:b/>
          <w:bCs/>
          <w:color w:val="4472C4" w:themeColor="accent1"/>
        </w:rPr>
      </w:pPr>
      <w:r w:rsidRPr="0072362C">
        <w:rPr>
          <w:rFonts w:ascii="Arial" w:hAnsi="Arial" w:cs="Arial"/>
          <w:b/>
          <w:bCs/>
          <w:color w:val="4472C4" w:themeColor="accent1"/>
        </w:rPr>
        <w:t>akreditace MVČR</w:t>
      </w:r>
      <w:r w:rsidRPr="0072362C">
        <w:rPr>
          <w:rFonts w:ascii="Arial" w:hAnsi="Arial" w:cs="Arial"/>
          <w:color w:val="4472C4" w:themeColor="accent1"/>
        </w:rPr>
        <w:t>: „</w:t>
      </w:r>
      <w:r w:rsidR="0072362C" w:rsidRPr="0072362C">
        <w:rPr>
          <w:rFonts w:ascii="Times New Roman" w:hAnsi="Times New Roman" w:cs="Times New Roman"/>
          <w:color w:val="4472C4" w:themeColor="accent1"/>
          <w:sz w:val="24"/>
          <w:szCs w:val="24"/>
        </w:rPr>
        <w:t>Problematika krizové intervence pro základní využití v rámci sociální práce (</w:t>
      </w:r>
      <w:r w:rsidR="00CA164E">
        <w:rPr>
          <w:rFonts w:ascii="Times New Roman" w:hAnsi="Times New Roman" w:cs="Times New Roman"/>
          <w:color w:val="4472C4" w:themeColor="accent1"/>
          <w:sz w:val="24"/>
          <w:szCs w:val="24"/>
        </w:rPr>
        <w:t>videokurz</w:t>
      </w:r>
      <w:r w:rsidRPr="0072362C">
        <w:rPr>
          <w:rFonts w:ascii="Arial" w:hAnsi="Arial" w:cs="Arial"/>
          <w:b/>
          <w:bCs/>
          <w:color w:val="4472C4" w:themeColor="accent1"/>
        </w:rPr>
        <w:t>)</w:t>
      </w:r>
      <w:r w:rsidRPr="0072362C">
        <w:rPr>
          <w:rFonts w:ascii="Arial" w:hAnsi="Arial" w:cs="Arial"/>
          <w:color w:val="4472C4" w:themeColor="accent1"/>
        </w:rPr>
        <w:t xml:space="preserve">“ </w:t>
      </w:r>
      <w:r w:rsidR="003E4DBE" w:rsidRPr="0072362C">
        <w:rPr>
          <w:rFonts w:ascii="Arial" w:hAnsi="Arial" w:cs="Arial"/>
          <w:color w:val="4472C4" w:themeColor="accent1"/>
        </w:rPr>
        <w:t>(program vypracovaný dle zákona č. 312/2002 Sb., o úřednících ÚSC v aktuálním znění. (</w:t>
      </w:r>
      <w:r w:rsidR="00BF2156" w:rsidRPr="0072362C">
        <w:rPr>
          <w:rFonts w:ascii="Arial" w:hAnsi="Arial" w:cs="Arial"/>
          <w:color w:val="4472C4" w:themeColor="accent1"/>
        </w:rPr>
        <w:t>8</w:t>
      </w:r>
      <w:r w:rsidR="003E4DBE" w:rsidRPr="0072362C">
        <w:rPr>
          <w:rFonts w:ascii="Arial" w:hAnsi="Arial" w:cs="Arial"/>
          <w:color w:val="4472C4" w:themeColor="accent1"/>
        </w:rPr>
        <w:t xml:space="preserve"> hodin) </w:t>
      </w:r>
      <w:r w:rsidR="003E4DBE" w:rsidRPr="0072362C">
        <w:rPr>
          <w:rFonts w:ascii="Arial" w:hAnsi="Arial" w:cs="Arial"/>
          <w:b/>
          <w:bCs/>
          <w:color w:val="4472C4" w:themeColor="accent1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07F2D9B" w:rsidR="007C6CBC" w:rsidRPr="00A7036B" w:rsidRDefault="00A7036B" w:rsidP="00AC3A43">
            <w:pPr>
              <w:rPr>
                <w:b/>
                <w:bCs/>
                <w:sz w:val="28"/>
                <w:szCs w:val="28"/>
              </w:rPr>
            </w:pPr>
            <w:r w:rsidRPr="00A7036B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Problematika krizové intervence pro základní využití v rámci sociální práce</w:t>
            </w:r>
            <w:r w:rsidR="00CA164E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0ED1C857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2362C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 xml:space="preserve">MPSV: </w:t>
            </w:r>
            <w:r w:rsidR="0072362C" w:rsidRPr="0072362C">
              <w:rPr>
                <w:rFonts w:ascii="TimesNewRomanUnicode,Bold" w:hAnsi="TimesNewRomanUnicode,Bold" w:cs="TimesNewRomanUnicode,Bold"/>
                <w:b/>
                <w:bCs/>
                <w:color w:val="7030A0"/>
              </w:rPr>
              <w:t>A2025/0934-SP/PC</w:t>
            </w:r>
            <w:r w:rsidRPr="0072362C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 xml:space="preserve"> (</w:t>
            </w:r>
            <w:r w:rsidR="00AC3A43" w:rsidRPr="0072362C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>8</w:t>
            </w:r>
            <w:r w:rsidRPr="0072362C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>. hodin) </w:t>
            </w:r>
            <w:r w:rsidR="00CA164E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>online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390DE2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CA164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</w:t>
            </w:r>
            <w:r w:rsidR="003E4DBE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19D8D84C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10BC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CA164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10BC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72362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</w:tr>
      <w:tr w:rsidR="007C5CB2" w:rsidRPr="007C6CBC" w14:paraId="46238250" w14:textId="77777777" w:rsidTr="00710BC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6B972786" w:rsidR="007C6CBC" w:rsidRPr="00710BC5" w:rsidRDefault="00710BC5" w:rsidP="00710B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Bc. David Tichý, DiS. </w:t>
            </w:r>
            <w:r>
              <w:rPr>
                <w:rFonts w:ascii="Arial" w:hAnsi="Arial" w:cs="Arial"/>
              </w:rPr>
              <w:t>(Ředitel krizového centra Ostrava, zkušený lektor s bohatou praxí v oblasti přednášené problematiky)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12D04077" w:rsidR="007C6CBC" w:rsidRPr="007C5CB2" w:rsidRDefault="0072362C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CA164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41AA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CA164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710BC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CA164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CA164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CA164E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60B3FD9B" w:rsidR="007C6CBC" w:rsidRPr="007C5CB2" w:rsidRDefault="00CA164E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164E">
              <w:rPr>
                <w:rFonts w:eastAsia="Times New Roman" w:cstheme="minorHAns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28765E5" w:rsidR="007C6CBC" w:rsidRPr="007C5CB2" w:rsidRDefault="00CA164E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7C6CBC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Pr="00BF2156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22943883" w14:textId="77777777" w:rsidR="0072362C" w:rsidRPr="0072362C" w:rsidRDefault="0072362C" w:rsidP="0072362C">
      <w:pPr>
        <w:rPr>
          <w:b/>
          <w:bCs/>
          <w:sz w:val="28"/>
          <w:szCs w:val="28"/>
        </w:rPr>
      </w:pPr>
      <w:bookmarkStart w:id="0" w:name="_Hlk23052402"/>
      <w:r w:rsidRPr="0072362C">
        <w:rPr>
          <w:b/>
          <w:bCs/>
          <w:sz w:val="28"/>
          <w:szCs w:val="28"/>
        </w:rPr>
        <w:t>Úvodem kurzu je nastíněn pojem krize jako společenský fenomén, následně jsou rozebrány společenské znaky životních situací, v nichž lidé vyhledávají krizovou pomoc a možnosti odborné pomoci v krizi. Probrány jsou základními principy, metody, techniky a sociálně právními aspekty krizové intervence.  Následuje seznámení se s nejčastějšími typy krizových situací a výčet krizí, spojených s duševními poruchami. Značná část kurzu je věnována zásadám krizové komunikace s různými typy klientů, včetně doporučení vhodných technik dotazování. V neposlední řadě jsou nastíněny aspekty řešení náročných životních situací klientů.</w:t>
      </w: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bookmarkEnd w:id="0"/>
    <w:p w14:paraId="6FEFE9AE" w14:textId="77777777" w:rsidR="0072362C" w:rsidRPr="0072362C" w:rsidRDefault="0072362C" w:rsidP="0072362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72362C">
        <w:rPr>
          <w:sz w:val="28"/>
          <w:szCs w:val="28"/>
        </w:rPr>
        <w:t xml:space="preserve">Absolvent kurzu doplní svoje znalosti o význam pojmu krize jako společenským fenoménem, společnými znaky životních situací, v nichž lidé vyhledávají krizovou pomoc a možnostmi odborné pomoci v krizi. </w:t>
      </w:r>
    </w:p>
    <w:p w14:paraId="61E49AE4" w14:textId="059CCE23" w:rsidR="0072362C" w:rsidRPr="0072362C" w:rsidRDefault="0072362C" w:rsidP="0072362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72362C">
        <w:rPr>
          <w:sz w:val="28"/>
          <w:szCs w:val="28"/>
        </w:rPr>
        <w:t xml:space="preserve">Absolvent kurzu rovněž obnoví svoje vědomosti o základních principech, metodách, technikách a sociálně právních aspektech krizové intervence a rovněž bude informován o nejčastějších typech krizových situací a o krizích, spojených s duševními poruchami. </w:t>
      </w:r>
    </w:p>
    <w:p w14:paraId="1A16FF36" w14:textId="6B9CBEE6" w:rsidR="0072362C" w:rsidRPr="0072362C" w:rsidRDefault="0072362C" w:rsidP="0072362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72362C">
        <w:rPr>
          <w:sz w:val="28"/>
          <w:szCs w:val="28"/>
        </w:rPr>
        <w:t>V neposlední řadě upevní svoje dovednosti o zásady krizové komunikace s různými typy klientů, budou mu doporučeny vhodné techniky dotazování a seznámí se s etickými aspekty řešení náročných životních situací klientů.</w:t>
      </w:r>
    </w:p>
    <w:p w14:paraId="082576D1" w14:textId="77777777" w:rsidR="0072362C" w:rsidRDefault="0072362C" w:rsidP="0072362C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</w:p>
    <w:p w14:paraId="6F28E32A" w14:textId="5F5CD8F5" w:rsidR="0072362C" w:rsidRDefault="0072362C" w:rsidP="00CA164E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6CE041A3" w14:textId="77777777" w:rsidR="00CA164E" w:rsidRDefault="00CA164E" w:rsidP="00CA164E">
      <w:pPr>
        <w:pStyle w:val="Normlnweb"/>
        <w:spacing w:before="0" w:beforeAutospacing="0" w:after="0" w:afterAutospacing="0"/>
        <w:jc w:val="left"/>
        <w:rPr>
          <w:rFonts w:cstheme="minorHAnsi"/>
          <w:b/>
          <w:bCs/>
          <w:color w:val="00B0F0"/>
          <w:sz w:val="20"/>
          <w:szCs w:val="20"/>
        </w:rPr>
      </w:pPr>
    </w:p>
    <w:p w14:paraId="7DF70CC1" w14:textId="543E2546" w:rsidR="0072362C" w:rsidRPr="0070755E" w:rsidRDefault="0072362C" w:rsidP="0072362C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09B140C0" w14:textId="77777777" w:rsidR="0072362C" w:rsidRPr="0070755E" w:rsidRDefault="0072362C" w:rsidP="0072362C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00DCA4F" w14:textId="77777777" w:rsidR="0072362C" w:rsidRDefault="0072362C" w:rsidP="0072362C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5C171A41" w14:textId="77777777" w:rsidR="0072362C" w:rsidRDefault="0072362C" w:rsidP="0072362C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7D571CA1" w14:textId="77777777" w:rsidR="0072362C" w:rsidRPr="0070755E" w:rsidRDefault="0072362C" w:rsidP="0072362C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účet č. 5000500032/5500 Raiffeisen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44BE" w14:textId="77777777" w:rsidR="009E1585" w:rsidRDefault="009E1585" w:rsidP="007C6CBC">
      <w:pPr>
        <w:spacing w:after="0" w:line="240" w:lineRule="auto"/>
      </w:pPr>
      <w:r>
        <w:separator/>
      </w:r>
    </w:p>
  </w:endnote>
  <w:endnote w:type="continuationSeparator" w:id="0">
    <w:p w14:paraId="043E00C4" w14:textId="77777777" w:rsidR="009E1585" w:rsidRDefault="009E1585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B52CA" w14:textId="77777777" w:rsidR="009E1585" w:rsidRDefault="009E1585" w:rsidP="007C6CBC">
      <w:pPr>
        <w:spacing w:after="0" w:line="240" w:lineRule="auto"/>
      </w:pPr>
      <w:r>
        <w:separator/>
      </w:r>
    </w:p>
  </w:footnote>
  <w:footnote w:type="continuationSeparator" w:id="0">
    <w:p w14:paraId="572F09A8" w14:textId="77777777" w:rsidR="009E1585" w:rsidRDefault="009E1585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713DCB"/>
    <w:multiLevelType w:val="hybridMultilevel"/>
    <w:tmpl w:val="852A3B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B5E24"/>
    <w:multiLevelType w:val="hybridMultilevel"/>
    <w:tmpl w:val="C4B85C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70A9A"/>
    <w:multiLevelType w:val="hybridMultilevel"/>
    <w:tmpl w:val="E9BC5D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3"/>
  </w:num>
  <w:num w:numId="2" w16cid:durableId="1666737415">
    <w:abstractNumId w:val="7"/>
  </w:num>
  <w:num w:numId="3" w16cid:durableId="1854491729">
    <w:abstractNumId w:val="4"/>
  </w:num>
  <w:num w:numId="4" w16cid:durableId="2115519055">
    <w:abstractNumId w:val="0"/>
  </w:num>
  <w:num w:numId="5" w16cid:durableId="1374233416">
    <w:abstractNumId w:val="6"/>
  </w:num>
  <w:num w:numId="6" w16cid:durableId="121995170">
    <w:abstractNumId w:val="5"/>
  </w:num>
  <w:num w:numId="7" w16cid:durableId="689994710">
    <w:abstractNumId w:val="1"/>
  </w:num>
  <w:num w:numId="8" w16cid:durableId="1954749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D7A2D"/>
    <w:rsid w:val="000F1481"/>
    <w:rsid w:val="000F65E4"/>
    <w:rsid w:val="00141AA8"/>
    <w:rsid w:val="001459DF"/>
    <w:rsid w:val="001B3BD7"/>
    <w:rsid w:val="001D5AB2"/>
    <w:rsid w:val="001D72C2"/>
    <w:rsid w:val="00250737"/>
    <w:rsid w:val="00336368"/>
    <w:rsid w:val="0037371C"/>
    <w:rsid w:val="00390DE2"/>
    <w:rsid w:val="003A294B"/>
    <w:rsid w:val="003E4DBE"/>
    <w:rsid w:val="003F5725"/>
    <w:rsid w:val="00444631"/>
    <w:rsid w:val="00461685"/>
    <w:rsid w:val="004D70E1"/>
    <w:rsid w:val="00511592"/>
    <w:rsid w:val="00543348"/>
    <w:rsid w:val="00592D24"/>
    <w:rsid w:val="005B1BF2"/>
    <w:rsid w:val="005B570F"/>
    <w:rsid w:val="005D7DB5"/>
    <w:rsid w:val="0064614E"/>
    <w:rsid w:val="006A32CE"/>
    <w:rsid w:val="006B60BD"/>
    <w:rsid w:val="00706E39"/>
    <w:rsid w:val="00710BC5"/>
    <w:rsid w:val="0072362C"/>
    <w:rsid w:val="00732443"/>
    <w:rsid w:val="007463A6"/>
    <w:rsid w:val="007578FC"/>
    <w:rsid w:val="007C5CB2"/>
    <w:rsid w:val="007C6CBC"/>
    <w:rsid w:val="00806F4B"/>
    <w:rsid w:val="00827991"/>
    <w:rsid w:val="00851163"/>
    <w:rsid w:val="00856FA1"/>
    <w:rsid w:val="0088625F"/>
    <w:rsid w:val="008B4BEE"/>
    <w:rsid w:val="008B79EB"/>
    <w:rsid w:val="00911FCF"/>
    <w:rsid w:val="009E1585"/>
    <w:rsid w:val="00A17CB3"/>
    <w:rsid w:val="00A3279F"/>
    <w:rsid w:val="00A436F5"/>
    <w:rsid w:val="00A61CB2"/>
    <w:rsid w:val="00A7036B"/>
    <w:rsid w:val="00AC3A43"/>
    <w:rsid w:val="00AF10DB"/>
    <w:rsid w:val="00BC045E"/>
    <w:rsid w:val="00BD0CE2"/>
    <w:rsid w:val="00BD2006"/>
    <w:rsid w:val="00BF2156"/>
    <w:rsid w:val="00C34B82"/>
    <w:rsid w:val="00C748C4"/>
    <w:rsid w:val="00CA164E"/>
    <w:rsid w:val="00CA4AB4"/>
    <w:rsid w:val="00D04C53"/>
    <w:rsid w:val="00D05C1F"/>
    <w:rsid w:val="00D31D31"/>
    <w:rsid w:val="00E63E83"/>
    <w:rsid w:val="00E72D01"/>
    <w:rsid w:val="00EC5161"/>
    <w:rsid w:val="00ED67DC"/>
    <w:rsid w:val="00EF4418"/>
    <w:rsid w:val="00F7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72362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7236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2362C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4</cp:revision>
  <dcterms:created xsi:type="dcterms:W3CDTF">2025-10-17T07:59:00Z</dcterms:created>
  <dcterms:modified xsi:type="dcterms:W3CDTF">2025-10-17T08:16:00Z</dcterms:modified>
</cp:coreProperties>
</file>