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556FB39E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0FD87EC1" w:rsidR="00012D13" w:rsidRPr="00CD55AC" w:rsidRDefault="00012D13" w:rsidP="00CD55AC">
      <w:pPr>
        <w:jc w:val="center"/>
        <w:rPr>
          <w:b/>
          <w:bCs/>
          <w:color w:val="4472C4" w:themeColor="accent1"/>
          <w:sz w:val="36"/>
          <w:szCs w:val="36"/>
        </w:rPr>
      </w:pPr>
      <w:r w:rsidRPr="00CD55AC">
        <w:rPr>
          <w:rFonts w:ascii="Arial" w:hAnsi="Arial" w:cs="Arial"/>
          <w:b/>
          <w:color w:val="4472C4" w:themeColor="accent1"/>
          <w:sz w:val="36"/>
          <w:szCs w:val="36"/>
        </w:rPr>
        <w:t>„</w:t>
      </w:r>
      <w:r w:rsidR="00CD6CAD" w:rsidRPr="00CD6CAD">
        <w:rPr>
          <w:rFonts w:ascii="Arial" w:hAnsi="Arial" w:cs="Arial"/>
          <w:b/>
          <w:color w:val="4472C4" w:themeColor="accent1"/>
          <w:sz w:val="36"/>
          <w:szCs w:val="36"/>
        </w:rPr>
        <w:t>Motivace nedobrovolného klienta v rámci sociální práce</w:t>
      </w:r>
      <w:r w:rsidRPr="00CD55AC">
        <w:rPr>
          <w:rFonts w:ascii="Arial" w:hAnsi="Arial" w:cs="Arial"/>
          <w:b/>
          <w:color w:val="4472C4" w:themeColor="accent1"/>
          <w:sz w:val="36"/>
          <w:szCs w:val="36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4FF0B68B" w:rsidR="00012D13" w:rsidRPr="00CD6CAD" w:rsidRDefault="00012D13" w:rsidP="00CD55AC">
      <w:pPr>
        <w:rPr>
          <w:b/>
          <w:bCs/>
          <w:color w:val="7030A0"/>
        </w:rPr>
      </w:pPr>
      <w:r w:rsidRPr="00CD6CAD">
        <w:rPr>
          <w:rFonts w:ascii="Arial" w:hAnsi="Arial" w:cs="Arial"/>
          <w:b/>
          <w:color w:val="7030A0"/>
        </w:rPr>
        <w:t>akreditace MPSV:</w:t>
      </w:r>
      <w:r w:rsidR="001F5EF1" w:rsidRPr="00CD6CA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D6CAD" w:rsidRPr="00CD6CAD">
        <w:rPr>
          <w:rFonts w:ascii="Times New Roman" w:hAnsi="Times New Roman" w:cs="Times New Roman"/>
          <w:color w:val="7030A0"/>
          <w:sz w:val="24"/>
          <w:szCs w:val="24"/>
        </w:rPr>
        <w:t>Motivace nedobrovolného klienta v rámci sociální práce</w:t>
      </w:r>
      <w:r w:rsidR="00542374" w:rsidRPr="00CD6CAD">
        <w:rPr>
          <w:rFonts w:ascii="Arial" w:hAnsi="Arial" w:cs="Arial"/>
          <w:color w:val="7030A0"/>
        </w:rPr>
        <w:t xml:space="preserve">. </w:t>
      </w:r>
      <w:r w:rsidRPr="00CD6CAD">
        <w:rPr>
          <w:rFonts w:ascii="Arial" w:hAnsi="Arial" w:cs="Arial"/>
          <w:color w:val="7030A0"/>
        </w:rPr>
        <w:t xml:space="preserve">Akreditace č.: </w:t>
      </w:r>
      <w:r w:rsidR="00CD6CAD" w:rsidRPr="00CD6CAD">
        <w:rPr>
          <w:b/>
          <w:bCs/>
          <w:color w:val="7030A0"/>
        </w:rPr>
        <w:t>A2023/0475-SP/PC</w:t>
      </w:r>
      <w:r w:rsidRPr="00CD6CAD">
        <w:rPr>
          <w:rFonts w:ascii="Arial" w:hAnsi="Arial" w:cs="Arial"/>
          <w:color w:val="7030A0"/>
        </w:rPr>
        <w:t xml:space="preserve"> (8. hodin)</w:t>
      </w:r>
      <w:r w:rsidR="00CD55AC" w:rsidRPr="00CD6CAD">
        <w:rPr>
          <w:rFonts w:ascii="Arial" w:hAnsi="Arial" w:cs="Arial"/>
          <w:color w:val="7030A0"/>
        </w:rPr>
        <w:t xml:space="preserve"> </w:t>
      </w:r>
      <w:r w:rsidR="008D052C" w:rsidRPr="00CD6CAD">
        <w:rPr>
          <w:rFonts w:ascii="Arial" w:hAnsi="Arial" w:cs="Arial"/>
          <w:color w:val="7030A0"/>
        </w:rPr>
        <w:t>kombinovaná forma</w:t>
      </w:r>
    </w:p>
    <w:p w14:paraId="29F44E94" w14:textId="2B5EC5A8" w:rsidR="00012D13" w:rsidRPr="00CD55AC" w:rsidRDefault="00012D13" w:rsidP="00012D13">
      <w:pPr>
        <w:rPr>
          <w:b/>
          <w:bCs/>
          <w:color w:val="4472C4" w:themeColor="accent1"/>
        </w:rPr>
      </w:pPr>
      <w:r w:rsidRPr="00CD55AC">
        <w:rPr>
          <w:rFonts w:ascii="Arial" w:hAnsi="Arial" w:cs="Arial"/>
          <w:b/>
          <w:color w:val="4472C4" w:themeColor="accent1"/>
        </w:rPr>
        <w:t>akreditace MVČR</w:t>
      </w:r>
      <w:r w:rsidRPr="00CD55AC">
        <w:rPr>
          <w:rFonts w:ascii="Arial" w:hAnsi="Arial" w:cs="Arial"/>
          <w:color w:val="4472C4" w:themeColor="accent1"/>
        </w:rPr>
        <w:t xml:space="preserve">: </w:t>
      </w:r>
      <w:r w:rsidR="00CD6CAD" w:rsidRPr="00CD6CAD">
        <w:rPr>
          <w:rFonts w:ascii="Arial" w:hAnsi="Arial" w:cs="Arial"/>
          <w:color w:val="4472C4" w:themeColor="accent1"/>
        </w:rPr>
        <w:t>Motivace nedobrovolného klienta v rámci sociální práce</w:t>
      </w:r>
      <w:r w:rsidR="001F5EF1" w:rsidRPr="00CD55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CD55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8D052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online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06EC561" w:rsidR="007C6CBC" w:rsidRPr="00CD55AC" w:rsidRDefault="00CD6CAD" w:rsidP="00CD55AC">
            <w:pPr>
              <w:rPr>
                <w:b/>
                <w:bCs/>
                <w:sz w:val="32"/>
                <w:szCs w:val="32"/>
              </w:rPr>
            </w:pPr>
            <w:r w:rsidRPr="00CD6CAD">
              <w:rPr>
                <w:b/>
                <w:bCs/>
                <w:color w:val="FFFFFF" w:themeColor="background1"/>
                <w:sz w:val="32"/>
                <w:szCs w:val="32"/>
              </w:rPr>
              <w:t>Motivace nedobrovolného klienta v rámci sociální práce</w:t>
            </w:r>
            <w:r w:rsidR="008D052C">
              <w:rPr>
                <w:b/>
                <w:bCs/>
                <w:color w:val="FFFFFF" w:themeColor="background1"/>
                <w:sz w:val="32"/>
                <w:szCs w:val="32"/>
              </w:rPr>
              <w:t xml:space="preserve"> (videokurz)</w:t>
            </w:r>
          </w:p>
        </w:tc>
      </w:tr>
      <w:tr w:rsidR="00CD6CAD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6863BDA8" w:rsidR="00DD7C35" w:rsidRPr="00CD6CAD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CD6CAD" w:rsidRPr="00CD6CAD">
              <w:rPr>
                <w:b/>
                <w:bCs/>
                <w:color w:val="7030A0"/>
                <w:sz w:val="24"/>
                <w:szCs w:val="24"/>
              </w:rPr>
              <w:t>A2023/0475-SP/PC</w:t>
            </w:r>
            <w:r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(8. hodin) </w:t>
            </w:r>
            <w:r w:rsidR="008D052C"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  <w:p w14:paraId="0C91C1DC" w14:textId="43EB0BD6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CD6CAD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6B5982D4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F77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F77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CD6CAD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1236B2F3" w:rsidR="007C6CBC" w:rsidRPr="00CD6CAD" w:rsidRDefault="00CD6CAD" w:rsidP="00CD6C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1100">
              <w:rPr>
                <w:rFonts w:cstheme="minorHAnsi"/>
                <w:b/>
                <w:sz w:val="20"/>
                <w:szCs w:val="20"/>
              </w:rPr>
              <w:t xml:space="preserve">Mgr. Eva Zakouřilová </w:t>
            </w:r>
            <w:r w:rsidRPr="005F1100">
              <w:rPr>
                <w:rFonts w:cstheme="minorHAnsi"/>
                <w:sz w:val="20"/>
                <w:szCs w:val="20"/>
              </w:rPr>
              <w:t>Terénní sociální pracovník v sociálně právní ochrany dětí na oddělení péče o rodinu a dítě Magistrátu města Olomouce, zapsaný mediátor, autorka celé řady publikací se sociální problematikou. V rámci celé ČR lektoruje odborná témata v oblasti sociální práce i mediace.</w:t>
            </w:r>
          </w:p>
        </w:tc>
      </w:tr>
      <w:tr w:rsidR="00CD6CAD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7898702" w:rsidR="007C6CBC" w:rsidRPr="00BD5CC2" w:rsidRDefault="00CD6CAD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CD55AC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CD6CAD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CD6CAD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CD6CAD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283B462D" w14:textId="77777777" w:rsidR="00CD6CAD" w:rsidRDefault="00CD6CAD" w:rsidP="00706BDD">
      <w:pPr>
        <w:spacing w:after="0"/>
        <w:rPr>
          <w:b/>
          <w:bCs/>
          <w:sz w:val="32"/>
          <w:szCs w:val="32"/>
        </w:rPr>
      </w:pPr>
    </w:p>
    <w:p w14:paraId="772D5668" w14:textId="4C2AFD11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BD481D6" w14:textId="0DC1501C" w:rsidR="00CD55AC" w:rsidRPr="00553DCA" w:rsidRDefault="00CD6CAD" w:rsidP="00CD6CAD">
      <w:pPr>
        <w:spacing w:after="0"/>
        <w:jc w:val="both"/>
        <w:rPr>
          <w:b/>
          <w:bCs/>
          <w:sz w:val="32"/>
          <w:szCs w:val="32"/>
        </w:rPr>
      </w:pPr>
      <w:r w:rsidRPr="00CD6CAD">
        <w:rPr>
          <w:b/>
          <w:bCs/>
          <w:sz w:val="32"/>
          <w:szCs w:val="32"/>
        </w:rPr>
        <w:t>Motivování nedobrovolného klienta je jednou z nejtěžších disciplín sociální práce. Bez motivace však klient nebude žádoucí změny ve svém životě či rodině realizovat a sociální práce se pak nedaří, neboť nevede k pozitivním výsledkům. Účelem vzdělávacího programu je seznámit posluchače se všemi specifiky této problematiky, s podmínkami, které je třeba pro motivování klienta naplnit, i s možnostmi vedení motivačního rozhovoru. V jeho průběhu posluchači získají znalosti a dovednosti, jak klientům dodávat odvahu a podporu na jejich cestě ke změně a jaké nástroje, postupy a strategie mohou pro motivaci klienta používat. Pozornost bude věnována spíše stránce praktické</w:t>
      </w:r>
      <w:r>
        <w:rPr>
          <w:b/>
          <w:bCs/>
          <w:sz w:val="32"/>
          <w:szCs w:val="32"/>
        </w:rPr>
        <w:t xml:space="preserve"> </w:t>
      </w:r>
      <w:r w:rsidRPr="00CD6CAD">
        <w:rPr>
          <w:b/>
          <w:bCs/>
          <w:sz w:val="32"/>
          <w:szCs w:val="32"/>
        </w:rPr>
        <w:t>než teoretické. Shrnutí a dotazům bude věnován závěr školení.</w:t>
      </w:r>
    </w:p>
    <w:p w14:paraId="20A5A540" w14:textId="77777777" w:rsidR="00CD6CAD" w:rsidRDefault="00CD6CAD" w:rsidP="00CD55AC">
      <w:pPr>
        <w:spacing w:after="0"/>
        <w:rPr>
          <w:b/>
          <w:bCs/>
          <w:sz w:val="32"/>
          <w:szCs w:val="32"/>
        </w:rPr>
      </w:pPr>
    </w:p>
    <w:p w14:paraId="7068328F" w14:textId="16A70634" w:rsidR="00CD55AC" w:rsidRDefault="00CD55AC" w:rsidP="00CD55AC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60767494" w14:textId="77777777" w:rsidR="00CD55AC" w:rsidRDefault="00CD55AC" w:rsidP="00CD55AC">
      <w:pPr>
        <w:spacing w:after="0"/>
        <w:rPr>
          <w:b/>
          <w:bCs/>
          <w:sz w:val="32"/>
          <w:szCs w:val="32"/>
        </w:rPr>
      </w:pPr>
    </w:p>
    <w:p w14:paraId="3E5BFB93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obnovují svoje znalosti v oblasti pojmů nezbytných pro absolvování kurzu</w:t>
      </w:r>
    </w:p>
    <w:p w14:paraId="69CF176F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doplňují svoje znalosti o příčiny a důvody nespolupráce klienta.</w:t>
      </w:r>
    </w:p>
    <w:p w14:paraId="48C2DFC8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upevňují svoje komunikační dovednosti v oblasti klíčových zásad pro práci s nedobrovolným klientem.</w:t>
      </w:r>
    </w:p>
    <w:p w14:paraId="770FC90E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umí klienta motivovat a znají různé druhy strategií a technik vedoucí k motivaci klienta.</w:t>
      </w:r>
    </w:p>
    <w:p w14:paraId="6935EC54" w14:textId="33A11047" w:rsidR="00CD55AC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upevňují svoje znalosti potřebné pro vedení motivačního rozhovoru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5064" w14:textId="77777777" w:rsidR="00BC5D7E" w:rsidRDefault="00BC5D7E" w:rsidP="007C6CBC">
      <w:pPr>
        <w:spacing w:after="0" w:line="240" w:lineRule="auto"/>
      </w:pPr>
      <w:r>
        <w:separator/>
      </w:r>
    </w:p>
  </w:endnote>
  <w:endnote w:type="continuationSeparator" w:id="0">
    <w:p w14:paraId="14A6C8E8" w14:textId="77777777" w:rsidR="00BC5D7E" w:rsidRDefault="00BC5D7E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B012" w14:textId="77777777" w:rsidR="00BC5D7E" w:rsidRDefault="00BC5D7E" w:rsidP="007C6CBC">
      <w:pPr>
        <w:spacing w:after="0" w:line="240" w:lineRule="auto"/>
      </w:pPr>
      <w:r>
        <w:separator/>
      </w:r>
    </w:p>
  </w:footnote>
  <w:footnote w:type="continuationSeparator" w:id="0">
    <w:p w14:paraId="661C2360" w14:textId="77777777" w:rsidR="00BC5D7E" w:rsidRDefault="00BC5D7E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9C27A5"/>
    <w:multiLevelType w:val="hybridMultilevel"/>
    <w:tmpl w:val="4596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66AB7"/>
    <w:multiLevelType w:val="hybridMultilevel"/>
    <w:tmpl w:val="B900A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2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9"/>
  </w:num>
  <w:num w:numId="6" w16cid:durableId="609699169">
    <w:abstractNumId w:val="5"/>
  </w:num>
  <w:num w:numId="7" w16cid:durableId="1636832460">
    <w:abstractNumId w:val="3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4"/>
  </w:num>
  <w:num w:numId="12" w16cid:durableId="157577575">
    <w:abstractNumId w:val="13"/>
  </w:num>
  <w:num w:numId="13" w16cid:durableId="279605918">
    <w:abstractNumId w:val="14"/>
  </w:num>
  <w:num w:numId="14" w16cid:durableId="111478136">
    <w:abstractNumId w:val="1"/>
  </w:num>
  <w:num w:numId="15" w16cid:durableId="748884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197F"/>
    <w:rsid w:val="000F0523"/>
    <w:rsid w:val="00101BD2"/>
    <w:rsid w:val="0013574A"/>
    <w:rsid w:val="001537E4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2D0B77"/>
    <w:rsid w:val="002F43BD"/>
    <w:rsid w:val="00324618"/>
    <w:rsid w:val="00344FA5"/>
    <w:rsid w:val="00351461"/>
    <w:rsid w:val="0037371C"/>
    <w:rsid w:val="003D0668"/>
    <w:rsid w:val="0047353D"/>
    <w:rsid w:val="004D48AE"/>
    <w:rsid w:val="00510E17"/>
    <w:rsid w:val="00542374"/>
    <w:rsid w:val="00553DCA"/>
    <w:rsid w:val="00594CA0"/>
    <w:rsid w:val="005F3954"/>
    <w:rsid w:val="00600517"/>
    <w:rsid w:val="006229D2"/>
    <w:rsid w:val="00627E4F"/>
    <w:rsid w:val="00633381"/>
    <w:rsid w:val="0065720E"/>
    <w:rsid w:val="006A4F3A"/>
    <w:rsid w:val="006F2A3A"/>
    <w:rsid w:val="00706BDD"/>
    <w:rsid w:val="0070755E"/>
    <w:rsid w:val="00726453"/>
    <w:rsid w:val="007A52CD"/>
    <w:rsid w:val="007C6CBC"/>
    <w:rsid w:val="008604CF"/>
    <w:rsid w:val="008D052C"/>
    <w:rsid w:val="008E20E3"/>
    <w:rsid w:val="008F2A71"/>
    <w:rsid w:val="00921419"/>
    <w:rsid w:val="00925ED4"/>
    <w:rsid w:val="0093354D"/>
    <w:rsid w:val="0097770C"/>
    <w:rsid w:val="009C5E81"/>
    <w:rsid w:val="009F2490"/>
    <w:rsid w:val="00A05BCE"/>
    <w:rsid w:val="00A3241C"/>
    <w:rsid w:val="00A525AF"/>
    <w:rsid w:val="00A65BBC"/>
    <w:rsid w:val="00A970EB"/>
    <w:rsid w:val="00B00DF7"/>
    <w:rsid w:val="00BA2712"/>
    <w:rsid w:val="00BC5D7E"/>
    <w:rsid w:val="00BD5CC2"/>
    <w:rsid w:val="00C31138"/>
    <w:rsid w:val="00C71753"/>
    <w:rsid w:val="00C92E7D"/>
    <w:rsid w:val="00CD55AC"/>
    <w:rsid w:val="00CD6CAD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61B98"/>
    <w:rsid w:val="00E76FD2"/>
    <w:rsid w:val="00E91C28"/>
    <w:rsid w:val="00EC515B"/>
    <w:rsid w:val="00EF4DA5"/>
    <w:rsid w:val="00F56FB7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5</cp:revision>
  <dcterms:created xsi:type="dcterms:W3CDTF">2025-10-22T11:11:00Z</dcterms:created>
  <dcterms:modified xsi:type="dcterms:W3CDTF">2025-10-23T06:10:00Z</dcterms:modified>
</cp:coreProperties>
</file>