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47C8C404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678C3E6A" w14:textId="0B60BD5A" w:rsidR="0088625F" w:rsidRPr="00700376" w:rsidRDefault="007C6CBC" w:rsidP="00700376">
      <w:pPr>
        <w:jc w:val="center"/>
        <w:rPr>
          <w:b/>
          <w:bCs/>
          <w:color w:val="0070C0"/>
          <w:sz w:val="48"/>
          <w:szCs w:val="48"/>
        </w:rPr>
      </w:pPr>
      <w:r w:rsidRPr="00AC3A43">
        <w:rPr>
          <w:rFonts w:ascii="Times New Roman" w:eastAsia="Times New Roman" w:hAnsi="Times New Roman" w:cs="Arial"/>
          <w:b/>
          <w:color w:val="0070C0"/>
          <w:kern w:val="0"/>
          <w:sz w:val="48"/>
          <w:szCs w:val="48"/>
          <w:lang w:eastAsia="cs-CZ"/>
          <w14:ligatures w14:val="none"/>
        </w:rPr>
        <w:t>„</w:t>
      </w:r>
      <w:r w:rsidR="00AC3A43" w:rsidRPr="00AC3A43">
        <w:rPr>
          <w:b/>
          <w:bCs/>
          <w:color w:val="0070C0"/>
          <w:sz w:val="48"/>
          <w:szCs w:val="48"/>
        </w:rPr>
        <w:t>Správní řád v agendě sociálně-právní ochrany dětí na úrovni obce s rozšířenou působností</w:t>
      </w:r>
      <w:r w:rsidRPr="00AC3A43">
        <w:rPr>
          <w:rFonts w:ascii="Times New Roman" w:eastAsia="Times New Roman" w:hAnsi="Times New Roman" w:cs="Arial"/>
          <w:b/>
          <w:color w:val="0070C0"/>
          <w:kern w:val="0"/>
          <w:sz w:val="48"/>
          <w:szCs w:val="48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410F6AA9" w:rsidR="00141AA8" w:rsidRPr="00AC3A43" w:rsidRDefault="00141AA8" w:rsidP="00141AA8">
      <w:pPr>
        <w:rPr>
          <w:rStyle w:val="Zvraznn"/>
          <w:rFonts w:ascii="Arial" w:hAnsi="Arial" w:cs="Arial"/>
          <w:b/>
          <w:bCs/>
          <w:i w:val="0"/>
          <w:iCs w:val="0"/>
          <w:color w:val="7030A0"/>
          <w:sz w:val="24"/>
          <w:szCs w:val="24"/>
        </w:rPr>
      </w:pPr>
      <w:r w:rsidRPr="00AC3A43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AC3A43">
        <w:rPr>
          <w:rFonts w:ascii="Arial" w:hAnsi="Arial" w:cs="Arial"/>
          <w:color w:val="7030A0"/>
          <w:sz w:val="24"/>
          <w:szCs w:val="24"/>
        </w:rPr>
        <w:t>: „</w:t>
      </w:r>
      <w:r w:rsidR="00AC3A43" w:rsidRPr="00AC3A43">
        <w:rPr>
          <w:rFonts w:ascii="Arial" w:hAnsi="Arial" w:cs="Arial"/>
          <w:b/>
          <w:bCs/>
          <w:color w:val="7030A0"/>
          <w:sz w:val="24"/>
          <w:szCs w:val="24"/>
        </w:rPr>
        <w:t>Správní řád v agendě sociálně-právní ochrany dětí na úrovni obce s rozšířenou působností</w:t>
      </w:r>
      <w:r w:rsidRPr="00AC3A43">
        <w:rPr>
          <w:rFonts w:ascii="Arial" w:hAnsi="Arial" w:cs="Arial"/>
          <w:color w:val="7030A0"/>
          <w:sz w:val="24"/>
          <w:szCs w:val="24"/>
        </w:rPr>
        <w:t>“</w:t>
      </w:r>
      <w:r w:rsidRPr="00AC3A43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706E39" w:rsidRPr="00AC3A43">
        <w:rPr>
          <w:rFonts w:ascii="Arial" w:hAnsi="Arial" w:cs="Arial"/>
          <w:color w:val="7030A0"/>
          <w:sz w:val="24"/>
          <w:szCs w:val="24"/>
        </w:rPr>
        <w:t>A2023/</w:t>
      </w:r>
      <w:r w:rsidR="00BF2156">
        <w:rPr>
          <w:rFonts w:ascii="Arial" w:hAnsi="Arial" w:cs="Arial"/>
          <w:color w:val="7030A0"/>
          <w:sz w:val="24"/>
          <w:szCs w:val="24"/>
        </w:rPr>
        <w:t>0917</w:t>
      </w:r>
      <w:r w:rsidR="00706E39" w:rsidRPr="00AC3A43">
        <w:rPr>
          <w:rFonts w:ascii="Arial" w:hAnsi="Arial" w:cs="Arial"/>
          <w:color w:val="7030A0"/>
          <w:sz w:val="24"/>
          <w:szCs w:val="24"/>
        </w:rPr>
        <w:t>-SP</w:t>
      </w:r>
      <w:r w:rsidRPr="00AC3A43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AC3A43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AC3A43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AC3A43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AC3A43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AC3A43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5C6FA1BA" w:rsidR="00827991" w:rsidRPr="00BF2156" w:rsidRDefault="00141AA8" w:rsidP="00827991">
      <w:pPr>
        <w:rPr>
          <w:b/>
          <w:bCs/>
          <w:color w:val="4472C4" w:themeColor="accent1"/>
        </w:rPr>
      </w:pPr>
      <w:r w:rsidRPr="00BF2156">
        <w:rPr>
          <w:rFonts w:ascii="Arial" w:hAnsi="Arial" w:cs="Arial"/>
          <w:b/>
          <w:bCs/>
          <w:color w:val="4472C4" w:themeColor="accent1"/>
        </w:rPr>
        <w:t>akreditace MVČR</w:t>
      </w:r>
      <w:r w:rsidRPr="00BF2156">
        <w:rPr>
          <w:rFonts w:ascii="Arial" w:hAnsi="Arial" w:cs="Arial"/>
          <w:color w:val="4472C4" w:themeColor="accent1"/>
        </w:rPr>
        <w:t>: „</w:t>
      </w:r>
      <w:r w:rsidR="00AC3A43" w:rsidRPr="00BF2156">
        <w:rPr>
          <w:b/>
          <w:bCs/>
          <w:color w:val="4472C4" w:themeColor="accent1"/>
        </w:rPr>
        <w:t>Správní řád v agendě sociálně-právní ochrany dětí na úrovni obce s rozšířenou působností</w:t>
      </w:r>
      <w:r w:rsidR="00706E39" w:rsidRPr="00BF2156">
        <w:rPr>
          <w:color w:val="4472C4" w:themeColor="accent1"/>
        </w:rPr>
        <w:t xml:space="preserve"> </w:t>
      </w:r>
      <w:r w:rsidRPr="00BF2156">
        <w:rPr>
          <w:rFonts w:ascii="Arial" w:hAnsi="Arial" w:cs="Arial"/>
          <w:b/>
          <w:bCs/>
          <w:color w:val="4472C4" w:themeColor="accent1"/>
        </w:rPr>
        <w:t>(videokurz)</w:t>
      </w:r>
      <w:r w:rsidRPr="00BF2156">
        <w:rPr>
          <w:rFonts w:ascii="Arial" w:hAnsi="Arial" w:cs="Arial"/>
          <w:color w:val="4472C4" w:themeColor="accent1"/>
        </w:rPr>
        <w:t>“</w:t>
      </w:r>
      <w:r w:rsidRPr="00BF2156">
        <w:rPr>
          <w:color w:val="4472C4" w:themeColor="accent1"/>
        </w:rPr>
        <w:t xml:space="preserve"> </w:t>
      </w:r>
      <w:r w:rsidR="003E4DBE" w:rsidRPr="00BF2156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BF2156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BF215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2813F056" w:rsidR="007C6CBC" w:rsidRPr="00AC3A43" w:rsidRDefault="00AC3A43" w:rsidP="00AC3A43">
            <w:pPr>
              <w:rPr>
                <w:b/>
                <w:bCs/>
                <w:color w:val="000000"/>
              </w:rPr>
            </w:pPr>
            <w:r w:rsidRPr="00AC3A43">
              <w:rPr>
                <w:b/>
                <w:bCs/>
                <w:color w:val="FFFFFF" w:themeColor="background1"/>
              </w:rPr>
              <w:t xml:space="preserve">Správní řád v agendě sociálně-právní ochrany dětí na úrovni obce s rozšířenou působností </w:t>
            </w:r>
            <w:r w:rsidR="00706E39" w:rsidRPr="00AC3A43">
              <w:rPr>
                <w:rFonts w:ascii="Arial" w:hAnsi="Arial" w:cs="Arial"/>
                <w:b/>
                <w:bCs/>
                <w:color w:val="FFFFFF" w:themeColor="background1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3C208CDD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MPSV: </w:t>
            </w:r>
            <w:r w:rsidR="00AC3A43" w:rsidRPr="00AC3A43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A2023/0917-SP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r w:rsidR="00AC3A43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7C6CBC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. hodin) </w:t>
            </w:r>
            <w:r w:rsidR="00E63E83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>online</w:t>
            </w:r>
            <w:r w:rsidR="001D5AB2">
              <w:rPr>
                <w:rFonts w:ascii="Calibri" w:eastAsia="Times New Roman" w:hAnsi="Calibri" w:cs="Calibri"/>
                <w:b/>
                <w:bCs/>
                <w:color w:val="8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472A95A9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55012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110025</w:t>
            </w:r>
          </w:p>
        </w:tc>
      </w:tr>
      <w:tr w:rsidR="007C5CB2" w:rsidRPr="007C6CBC" w14:paraId="46238250" w14:textId="77777777" w:rsidTr="003626C7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1FFD5F45" w:rsidR="007C6CBC" w:rsidRPr="007C5CB2" w:rsidRDefault="00346BC2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46BC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Mgr. Bc. Mgr. Bc. Martin Doležal</w:t>
            </w:r>
            <w:r w:rsidRPr="00346BC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 SWE (</w:t>
            </w:r>
            <w:proofErr w:type="spellStart"/>
            <w:r w:rsidRPr="00346BC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Social</w:t>
            </w:r>
            <w:proofErr w:type="spellEnd"/>
            <w:r w:rsidRPr="00346BC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346BC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Work</w:t>
            </w:r>
            <w:proofErr w:type="spellEnd"/>
            <w:r w:rsidRPr="00346BC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346BC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England</w:t>
            </w:r>
            <w:proofErr w:type="spellEnd"/>
            <w:r w:rsidRPr="00346BC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), člen Profesní komory sociálně-právní ochrany dětí (PKSPOD)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31379D10" w:rsidR="007C6CBC" w:rsidRPr="007C5CB2" w:rsidRDefault="00550127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24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(úterý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Pr="00BF2156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55239208" w14:textId="77777777" w:rsidR="00BF2156" w:rsidRPr="00BF2156" w:rsidRDefault="00BF2156" w:rsidP="00BF2156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 xml:space="preserve">Seminář je určen vedoucím a řadovým pracovníkům OSPOD a je věnován jednotlivým typům správních řízení a postupu v řízení, které probíhají na obecním úřadě obce s rozšířenou působností v agendě sociálně-právní ochrany dětí. Bude věnován hlavním částem správního řízení, jeho postupu a seznámí posluchače s formuláři, které mohou ve své praxi použít. Jedná se především o správní řízení ve věci výchovných opatření: dohled, omezení, využití odborné služby, ve věci uložení povinnosti ve správním řízení, v řízení o vydaní souhlasu dle § 16b ZSPOD, v řízení o vydání o zamítnutí žádosti o vydání souhlasu s poskytováním ochrany a pomoci dítěti dle § 42a odst. 6 písm.  a) ZSPOD, v řízení o zamítnutí žádosti o vydání souhlasu s prodloužením trvání smlouvy o poskytování ochrany a pomoc § 42a odst. 6 písm.  b) ZSPOD, v řízení o zastavení řízení o žádostech podle § 16b odst. 1 písm. a) nebo b) ZSPOD, ve věci řízení o zrušení souhlasu podle § 16b odst. 5 ZSPOD, seznámení se s příkazním řízení dle § 150 </w:t>
      </w:r>
      <w:proofErr w:type="spellStart"/>
      <w:r w:rsidRPr="00BF2156">
        <w:rPr>
          <w:b/>
          <w:bCs/>
          <w:sz w:val="28"/>
          <w:szCs w:val="28"/>
        </w:rPr>
        <w:t>SpŘ</w:t>
      </w:r>
      <w:proofErr w:type="spellEnd"/>
      <w:r w:rsidRPr="00BF2156">
        <w:rPr>
          <w:b/>
          <w:bCs/>
          <w:sz w:val="28"/>
          <w:szCs w:val="28"/>
        </w:rPr>
        <w:t xml:space="preserve">, ve věci vydávání písemného souhlasu s pobytem dítěte mimo zařízení dle 30 odst. 1 a dle § 154 </w:t>
      </w:r>
      <w:proofErr w:type="spellStart"/>
      <w:r w:rsidRPr="00BF2156">
        <w:rPr>
          <w:b/>
          <w:bCs/>
          <w:sz w:val="28"/>
          <w:szCs w:val="28"/>
        </w:rPr>
        <w:t>SpŘ</w:t>
      </w:r>
      <w:proofErr w:type="spellEnd"/>
      <w:r w:rsidRPr="00BF2156">
        <w:rPr>
          <w:b/>
          <w:bCs/>
          <w:sz w:val="28"/>
          <w:szCs w:val="28"/>
        </w:rPr>
        <w:t xml:space="preserve"> (vydání osvědčení), ve věci Zrušení rozhodnutí o uložení výchovného opatření ve správním řízení dle § 13 odst. 4 ZSPOD a dalších řízeních.</w:t>
      </w:r>
    </w:p>
    <w:p w14:paraId="15EA6A30" w14:textId="77777777" w:rsidR="00BF2156" w:rsidRP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37AAAE7D" w14:textId="77777777" w:rsidR="00BF2156" w:rsidRPr="00BF2156" w:rsidRDefault="00BF2156" w:rsidP="00BF2156">
      <w:pPr>
        <w:rPr>
          <w:sz w:val="28"/>
          <w:szCs w:val="28"/>
        </w:rPr>
      </w:pPr>
      <w:r w:rsidRPr="00BF2156">
        <w:rPr>
          <w:sz w:val="28"/>
          <w:szCs w:val="28"/>
        </w:rPr>
        <w:t>Posluchači po absolvování semináře budou mít jasnou představuji, jak vést správní řízení v různých situacích, jaké pomůcky používat, aby nedošlo ke zbytečným chybám, posluchači budou seznámeni s nezbytnou dokumentací a budou mít k dispozici formuláře pro všechny typy řízení, které jsou zmíněny v prezentaci. Cílem je ovládnout správní řízení a využívat ho při práci s cílovou skupinou dětí a jejich rodin při výkonu sociálně-právní ochrany dětí.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1E02BA2B" w14:textId="60D8714D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D687" w14:textId="77777777" w:rsidR="00FC78FC" w:rsidRDefault="00FC78FC" w:rsidP="007C6CBC">
      <w:pPr>
        <w:spacing w:after="0" w:line="240" w:lineRule="auto"/>
      </w:pPr>
      <w:r>
        <w:separator/>
      </w:r>
    </w:p>
  </w:endnote>
  <w:endnote w:type="continuationSeparator" w:id="0">
    <w:p w14:paraId="44005700" w14:textId="77777777" w:rsidR="00FC78FC" w:rsidRDefault="00FC78FC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AD09" w14:textId="77777777" w:rsidR="00FC78FC" w:rsidRDefault="00FC78FC" w:rsidP="007C6CBC">
      <w:pPr>
        <w:spacing w:after="0" w:line="240" w:lineRule="auto"/>
      </w:pPr>
      <w:r>
        <w:separator/>
      </w:r>
    </w:p>
  </w:footnote>
  <w:footnote w:type="continuationSeparator" w:id="0">
    <w:p w14:paraId="7A0A09BE" w14:textId="77777777" w:rsidR="00FC78FC" w:rsidRDefault="00FC78FC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1"/>
  </w:num>
  <w:num w:numId="2" w16cid:durableId="1666737415">
    <w:abstractNumId w:val="4"/>
  </w:num>
  <w:num w:numId="3" w16cid:durableId="1854491729">
    <w:abstractNumId w:val="2"/>
  </w:num>
  <w:num w:numId="4" w16cid:durableId="2115519055">
    <w:abstractNumId w:val="0"/>
  </w:num>
  <w:num w:numId="5" w16cid:durableId="137423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D7A2D"/>
    <w:rsid w:val="000F1481"/>
    <w:rsid w:val="000F65E4"/>
    <w:rsid w:val="00141AA8"/>
    <w:rsid w:val="001459DF"/>
    <w:rsid w:val="001B3BD7"/>
    <w:rsid w:val="001D5AB2"/>
    <w:rsid w:val="001D72C2"/>
    <w:rsid w:val="001E4C68"/>
    <w:rsid w:val="00250737"/>
    <w:rsid w:val="00346BC2"/>
    <w:rsid w:val="0037371C"/>
    <w:rsid w:val="003A294B"/>
    <w:rsid w:val="003E4DBE"/>
    <w:rsid w:val="00444631"/>
    <w:rsid w:val="00461685"/>
    <w:rsid w:val="004D70E1"/>
    <w:rsid w:val="00511592"/>
    <w:rsid w:val="00543348"/>
    <w:rsid w:val="00550127"/>
    <w:rsid w:val="00592D24"/>
    <w:rsid w:val="005B1BF2"/>
    <w:rsid w:val="005B570F"/>
    <w:rsid w:val="0064614E"/>
    <w:rsid w:val="006A32CE"/>
    <w:rsid w:val="006B60BD"/>
    <w:rsid w:val="00700376"/>
    <w:rsid w:val="00706E39"/>
    <w:rsid w:val="00732443"/>
    <w:rsid w:val="00737A30"/>
    <w:rsid w:val="007463A6"/>
    <w:rsid w:val="007578FC"/>
    <w:rsid w:val="007C5CB2"/>
    <w:rsid w:val="007C6CBC"/>
    <w:rsid w:val="00827991"/>
    <w:rsid w:val="00851163"/>
    <w:rsid w:val="0088625F"/>
    <w:rsid w:val="008B79EB"/>
    <w:rsid w:val="00A3279F"/>
    <w:rsid w:val="00A436F5"/>
    <w:rsid w:val="00A61CB2"/>
    <w:rsid w:val="00AC3A43"/>
    <w:rsid w:val="00AF10DB"/>
    <w:rsid w:val="00BC045E"/>
    <w:rsid w:val="00BD0CE2"/>
    <w:rsid w:val="00BF2156"/>
    <w:rsid w:val="00C34070"/>
    <w:rsid w:val="00C34B82"/>
    <w:rsid w:val="00C748C4"/>
    <w:rsid w:val="00CA4AB4"/>
    <w:rsid w:val="00D04C53"/>
    <w:rsid w:val="00D05C1F"/>
    <w:rsid w:val="00D10BEE"/>
    <w:rsid w:val="00DA4A62"/>
    <w:rsid w:val="00E426BF"/>
    <w:rsid w:val="00E63E83"/>
    <w:rsid w:val="00E72D01"/>
    <w:rsid w:val="00ED67DC"/>
    <w:rsid w:val="00FC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7</cp:revision>
  <dcterms:created xsi:type="dcterms:W3CDTF">2025-10-16T11:05:00Z</dcterms:created>
  <dcterms:modified xsi:type="dcterms:W3CDTF">2025-10-17T08:13:00Z</dcterms:modified>
</cp:coreProperties>
</file>