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color w:val="4472c4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40"/>
          <w:szCs w:val="40"/>
          <w:rtl w:val="0"/>
        </w:rPr>
        <w:t xml:space="preserve">„Sociální ochrana – základní možnosti a dilemata sociálního pracovníka obce“</w:t>
      </w:r>
    </w:p>
    <w:p w:rsidR="00000000" w:rsidDel="00000000" w:rsidP="00000000" w:rsidRDefault="00000000" w:rsidRPr="00000000" w14:paraId="00000013">
      <w:pPr>
        <w:spacing w:after="360" w:before="40" w:line="240" w:lineRule="auto"/>
        <w:ind w:right="720"/>
        <w:jc w:val="center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„Sociální ochrana – základní možnosti a dilemata sociálního pracovníka obce“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7030a0"/>
          <w:sz w:val="24"/>
          <w:szCs w:val="24"/>
          <w:rtl w:val="0"/>
        </w:rPr>
        <w:t xml:space="preserve"> A2025/0937-SP/PC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MVČR: Sociální ochrana – základní možnosti a dilemata sociálního pracovníka obce</w:t>
      </w:r>
      <w:r w:rsidDel="00000000" w:rsidR="00000000" w:rsidRPr="00000000">
        <w:rPr>
          <w:b w:val="1"/>
          <w:color w:val="4472c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 (program vypracovaný dle zákona č. 312/2002 Sb., o úřednících ÚSC v aktuálním znění. (8 hodin) 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4"/>
                <w:szCs w:val="24"/>
                <w:rtl w:val="0"/>
              </w:rPr>
              <w:t xml:space="preserve">Sociální ochrana – základní možnosti a dilemata sociálního pracovníka obce 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030a0"/>
                <w:sz w:val="24"/>
                <w:szCs w:val="24"/>
                <w:rtl w:val="0"/>
              </w:rPr>
              <w:t xml:space="preserve">MPSV: A2025/0937-SP/PC (8. hodin) prezenční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4472c4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20260110026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Mgr. Zdeněk Živčák, MPA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linkedin.com/in/zdenek-zivcak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(Odborný lektor s bohatou praxí v dané oblasti, vedoucí odboru sociálních věcí a zdravotnictví Statutárního města Ostrava)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5.11. 2026 (čtvrtek)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10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2 290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jc w:val="both"/>
        <w:rPr>
          <w:b w:val="1"/>
          <w:sz w:val="28"/>
          <w:szCs w:val="28"/>
        </w:rPr>
      </w:pPr>
      <w:bookmarkStart w:colFirst="0" w:colLast="0" w:name="_heading=h.g2irf6w0j5k0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Posluchači se v úvodu seznámí se strukturou tohoto semináře. V dalším průběhu dojde na legislativu nezbytnou pro činnost sociálního pracovníka obce. Tato část se dotkne i cílových skupin. Veřejnému opatrovnictví je pak věnována následující část školení. Nezbytné požadavky na vzdělání včetně odborné způsobilosti tvoří další ucelený blok. Spolupráci s odborníky při sociální práci s vybranými skupinami (senioři, osoby bez přístřeší, osoby s dluhy) je věnována další část semináře. V závěru pak dojde na diskusi k probrané problematice</w:t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informace legislativního zázemí a znají kompetence své sociální práce.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svoje vědomosti o zásady práce veřejného opatrovníka.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jsou si vědomi potřeb odbornosti a vzdělávání v rámci své profese.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informace, koho v rámci sociální sítě oslovit při sociální práci s cílovými skupinami</w:t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4">
      <w:pPr>
        <w:tabs>
          <w:tab w:val="left" w:leader="none" w:pos="3330"/>
        </w:tabs>
        <w:ind w:right="-153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ind w:right="-153"/>
        <w:jc w:val="both"/>
        <w:rPr>
          <w:b w:val="1"/>
          <w:color w:val="00b0f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9">
      <w:pPr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character" w:styleId="Hypertextovodkaz">
    <w:name w:val="Hyperlink"/>
    <w:rsid w:val="00C15B2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 w:val="1"/>
    <w:rsid w:val="00DE3BEB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character" w:styleId="Zkladntext2Char" w:customStyle="1">
    <w:name w:val="Základní text 2 Char"/>
    <w:basedOn w:val="Standardnpsmoodstavce"/>
    <w:link w:val="Zkladntext2"/>
    <w:uiPriority w:val="99"/>
    <w:semiHidden w:val="1"/>
    <w:rsid w:val="00DE3BEB"/>
    <w:rPr>
      <w:rFonts w:ascii="Times New Roman" w:cs="Times New Roman" w:eastAsia="Times New Roman" w:hAnsi="Times New Roman"/>
      <w:kern w:val="0"/>
      <w:sz w:val="20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opseminare.cz" TargetMode="External"/><Relationship Id="rId10" Type="http://schemas.openxmlformats.org/officeDocument/2006/relationships/hyperlink" Target="https://maps.app.goo.gl/airnnwwr3cwZ4MUA8" TargetMode="External"/><Relationship Id="rId13" Type="http://schemas.openxmlformats.org/officeDocument/2006/relationships/header" Target="header2.xml"/><Relationship Id="rId12" Type="http://schemas.openxmlformats.org/officeDocument/2006/relationships/hyperlink" Target="mailto:info@topseminare.c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PECFj8nt1zinHkNYf8/tBdo3lw==">CgMxLjAyDmguZzJpcmY2dzBqNWswOAByITE0dG80WWIyMDNsQmx5S296R3JLRHZqWmlTejZBeFFpNA==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2025-10-22T07:13:00Z</dcterms:created>
  <dc:creator>Josefína Staňková</dc:creator>
</cp:coreProperties>
</file>