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color w:val="4472c4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32"/>
          <w:szCs w:val="32"/>
          <w:rtl w:val="0"/>
        </w:rPr>
        <w:t xml:space="preserve">„Výkon sociální práce ze strany sociálního pracovníka obecního úřadu s důrazem na aktuálně řešenou problematiku“</w:t>
      </w:r>
    </w:p>
    <w:p w:rsidR="00000000" w:rsidDel="00000000" w:rsidP="00000000" w:rsidRDefault="00000000" w:rsidRPr="00000000" w14:paraId="00000013">
      <w:pPr>
        <w:spacing w:after="360" w:before="40" w:line="240" w:lineRule="auto"/>
        <w:ind w:right="720"/>
        <w:jc w:val="center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i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b w:val="1"/>
          <w:color w:val="7030a0"/>
          <w:rtl w:val="0"/>
        </w:rPr>
        <w:t xml:space="preserve">Výkon sociální práce ze strany sociálního pracovníka obecního úřadu s důrazem na aktuálně řešenou problematiku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rtl w:val="0"/>
        </w:rPr>
        <w:t xml:space="preserve"> A2025/0938-SP/PC</w:t>
      </w:r>
      <w:r w:rsidDel="00000000" w:rsidR="00000000" w:rsidRPr="00000000">
        <w:rPr>
          <w:rFonts w:ascii="Arial" w:cs="Arial" w:eastAsia="Arial" w:hAnsi="Arial"/>
          <w:i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4472c4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MVČR: </w:t>
      </w:r>
      <w:r w:rsidDel="00000000" w:rsidR="00000000" w:rsidRPr="00000000">
        <w:rPr>
          <w:b w:val="1"/>
          <w:color w:val="4472c4"/>
          <w:rtl w:val="0"/>
        </w:rPr>
        <w:t xml:space="preserve">Výkon sociální práce ze strany sociálního pracovníka obecního úřadu s důrazem na aktuálně řešenou problematiku 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(videokurz)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“ (program vypracovaný dle zákona č. 312/2002 Sb., o úřednících ÚSC v aktuálním znění. (8 hodin) 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513"/>
        <w:gridCol w:w="7195"/>
        <w:tblGridChange w:id="0">
          <w:tblGrid>
            <w:gridCol w:w="3513"/>
            <w:gridCol w:w="719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Výkon sociální práce ze strany sociálního pracovníka obecního úřadu s důrazem na aktuálně řešenou problematiku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30a0"/>
                <w:sz w:val="24"/>
                <w:szCs w:val="24"/>
                <w:rtl w:val="0"/>
              </w:rPr>
              <w:t xml:space="preserve">MPSV: A2025/0938-SP/PC (8. hodin) prezenční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(prezenční)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202605004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Mgr. Zdeněk Živčák, MPA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linkedin.com/in/zdenek-zivcak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(Odborný lektor s bohatou praxí v dané oblasti, vedoucí odboru sociálních věcí a zdravotnictví Statutárního města Ostrava)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19.05. 2026 (úterý) od 9,00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8,30hod – 9,00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rtl w:val="0"/>
                </w:rPr>
                <w:br w:type="textWrapping"/>
              </w:r>
            </w:hyperlink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Střední škola prof. Zdeňka Matějíčka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7a7a7a"/>
                <w:rtl w:val="0"/>
              </w:rPr>
              <w:t xml:space="preserve">, 17. listopadu 1123/70, 708 00, Ostrava-Poruba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00000"/>
                <w:sz w:val="24"/>
                <w:szCs w:val="24"/>
                <w:rtl w:val="0"/>
              </w:rPr>
              <w:t xml:space="preserve">2 290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B">
      <w:pPr>
        <w:jc w:val="both"/>
        <w:rPr>
          <w:b w:val="1"/>
          <w:sz w:val="28"/>
          <w:szCs w:val="28"/>
        </w:rPr>
      </w:pPr>
      <w:bookmarkStart w:colFirst="0" w:colLast="0" w:name="_heading=h.k0u5k5r23we8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V úvodní části semináře si posluchači osvěží základní pojmy sociální práce a dojde na vymezení legislativního rámce této činnosti. Kompetence a možnosti terénního sociálního pracovníka jsou vymezeny v následném bloku. V části školení, která se zaobírá aktuálními informacemi posluchači rozšíří svoje znalosti potřebné k výkonu poradenství. Jednotlivé techniky práce s klientem jsou pak pokračováním semináře. V dalším bloku dojde na spolupráci s aktéry v rámci sociální sítě. Závěr je věnován krátkému shrnutí a dotazům posluchačů.</w:t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 kurzu doplňuje poznatky o základních pojmech a činnostem v rámci terénní sociální práce.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 kurzu upevňuje svoje znalosti v oblasti kompetencí a možností sociálního pracovníka.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 obnovuje informace z oblasti legislativních aktualit, potřebnými pro výkon sociální práce.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 je připraven kvalitně pracovat s klientem v rámci sociální práce.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 umí využívat ve prospěch klientů spolupráce v rámci sociální sítě.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a občerstvení, které sestává z nealkoholických nápojů a občerstvení v průběhu školení.</w:t>
      </w:r>
    </w:p>
    <w:p w:rsidR="00000000" w:rsidDel="00000000" w:rsidP="00000000" w:rsidRDefault="00000000" w:rsidRPr="00000000" w14:paraId="00000035">
      <w:pPr>
        <w:tabs>
          <w:tab w:val="left" w:leader="none" w:pos="3330"/>
        </w:tabs>
        <w:ind w:right="-153"/>
        <w:jc w:val="both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330"/>
        </w:tabs>
        <w:ind w:right="-153"/>
        <w:jc w:val="both"/>
        <w:rPr>
          <w:b w:val="1"/>
          <w:color w:val="00b0f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color w:val="00b0f0"/>
          <w:rtl w:val="0"/>
        </w:rPr>
        <w:t xml:space="preserve">  </w:t>
        <w:tab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A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7C5CB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Siln">
    <w:name w:val="Strong"/>
    <w:uiPriority w:val="22"/>
    <w:qFormat w:val="1"/>
    <w:rsid w:val="001D5AB2"/>
    <w:rPr>
      <w:b w:val="1"/>
      <w:bCs w:val="1"/>
    </w:rPr>
  </w:style>
  <w:style w:type="character" w:styleId="Zvraznn" w:customStyle="1">
    <w:name w:val="Zvýraznění"/>
    <w:uiPriority w:val="20"/>
    <w:qFormat w:val="1"/>
    <w:rsid w:val="001D5AB2"/>
    <w:rPr>
      <w:i w:val="1"/>
      <w:iCs w:val="1"/>
    </w:rPr>
  </w:style>
  <w:style w:type="paragraph" w:styleId="-wm-msolistparagraph" w:customStyle="1">
    <w:name w:val="-wm-msolistparagraph"/>
    <w:basedOn w:val="Normln"/>
    <w:rsid w:val="005B1B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htmlcode" w:customStyle="1">
    <w:name w:val="htmlcode"/>
    <w:basedOn w:val="Standardnpsmoodstavce"/>
    <w:rsid w:val="005B1BF2"/>
  </w:style>
  <w:style w:type="paragraph" w:styleId="Default" w:customStyle="1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141AA8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character" w:styleId="Hypertextovodkaz">
    <w:name w:val="Hyperlink"/>
    <w:rsid w:val="00C15B2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 w:val="1"/>
    <w:rsid w:val="00000E2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character" w:styleId="Zkladntext2Char" w:customStyle="1">
    <w:name w:val="Základní text 2 Char"/>
    <w:basedOn w:val="Standardnpsmoodstavce"/>
    <w:link w:val="Zkladntext2"/>
    <w:uiPriority w:val="99"/>
    <w:semiHidden w:val="1"/>
    <w:rsid w:val="00000E21"/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topseminare.cz" TargetMode="External"/><Relationship Id="rId10" Type="http://schemas.openxmlformats.org/officeDocument/2006/relationships/hyperlink" Target="https://maps.app.goo.gl/airnnwwr3cwZ4MUA8" TargetMode="External"/><Relationship Id="rId13" Type="http://schemas.openxmlformats.org/officeDocument/2006/relationships/header" Target="header2.xml"/><Relationship Id="rId12" Type="http://schemas.openxmlformats.org/officeDocument/2006/relationships/hyperlink" Target="mailto:info@topseminare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ps.app.goo.gl/airnnwwr3cwZ4MUA8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Zu4VUSSXWGjZz3VTbijYNA7Fw==">CgMxLjAyDmguazB1NWs1cjIzd2U4OAByITFPbHhac3VQeU1mM194Ym5aQktNSUJzSEFxYjB0cW9HYw==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2025-10-22T07:18:00Z</dcterms:created>
  <dc:creator>Josefína Staňková</dc:creator>
</cp:coreProperties>
</file>