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B04D995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D9C6589" w:rsidR="007C6CBC" w:rsidRPr="005D3A9D" w:rsidRDefault="007C6CBC" w:rsidP="00F0783E">
      <w:pPr>
        <w:autoSpaceDE w:val="0"/>
        <w:autoSpaceDN w:val="0"/>
        <w:adjustRightInd w:val="0"/>
        <w:spacing w:after="0" w:line="240" w:lineRule="auto"/>
        <w:jc w:val="center"/>
        <w:rPr>
          <w:b/>
          <w:color w:val="4472C4" w:themeColor="accent1"/>
          <w:sz w:val="36"/>
          <w:szCs w:val="36"/>
        </w:rPr>
      </w:pPr>
      <w:r w:rsidRPr="005D3A9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5D3A9D" w:rsidRPr="005D3A9D">
        <w:rPr>
          <w:rFonts w:ascii="Times New Roman" w:hAnsi="Times New Roman" w:cs="Times New Roman"/>
          <w:b/>
          <w:color w:val="4472C4" w:themeColor="accent1"/>
          <w:sz w:val="36"/>
          <w:szCs w:val="36"/>
        </w:rPr>
        <w:t>Význam bondingu a vztahové vazby v rámci sociální práce s rodinným systémem</w:t>
      </w:r>
      <w:r w:rsidRPr="005D3A9D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2276F01D" w:rsidR="00141AA8" w:rsidRPr="005D3A9D" w:rsidRDefault="00141AA8" w:rsidP="00F0783E">
      <w:pPr>
        <w:autoSpaceDE w:val="0"/>
        <w:autoSpaceDN w:val="0"/>
        <w:adjustRightInd w:val="0"/>
        <w:spacing w:after="0" w:line="240" w:lineRule="auto"/>
        <w:rPr>
          <w:rStyle w:val="Zvraznn"/>
          <w:b/>
          <w:bCs/>
          <w:i w:val="0"/>
          <w:iCs w:val="0"/>
          <w:color w:val="7030A0"/>
          <w:sz w:val="24"/>
          <w:szCs w:val="24"/>
        </w:rPr>
      </w:pPr>
      <w:r w:rsidRPr="005D3A9D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5D3A9D">
        <w:rPr>
          <w:rFonts w:ascii="Arial" w:hAnsi="Arial" w:cs="Arial"/>
          <w:color w:val="7030A0"/>
          <w:sz w:val="24"/>
          <w:szCs w:val="24"/>
        </w:rPr>
        <w:t>: „</w:t>
      </w:r>
      <w:r w:rsidR="005D3A9D" w:rsidRPr="005D3A9D">
        <w:rPr>
          <w:rFonts w:ascii="Times New Roman" w:hAnsi="Times New Roman" w:cs="Times New Roman"/>
          <w:color w:val="7030A0"/>
          <w:sz w:val="24"/>
          <w:szCs w:val="24"/>
        </w:rPr>
        <w:t>Význam bondingu a vztahové vazby v rámci sociální práce s rodinným systémem</w:t>
      </w:r>
      <w:r w:rsidRPr="005D3A9D">
        <w:rPr>
          <w:rFonts w:ascii="Arial" w:hAnsi="Arial" w:cs="Arial"/>
          <w:color w:val="7030A0"/>
          <w:sz w:val="24"/>
          <w:szCs w:val="24"/>
        </w:rPr>
        <w:t>“</w:t>
      </w:r>
      <w:r w:rsidR="008127BA" w:rsidRPr="005D3A9D">
        <w:rPr>
          <w:b/>
          <w:bCs/>
          <w:color w:val="7030A0"/>
          <w:sz w:val="24"/>
          <w:szCs w:val="24"/>
        </w:rPr>
        <w:t xml:space="preserve"> </w:t>
      </w:r>
      <w:r w:rsidR="00F0783E" w:rsidRPr="005D3A9D">
        <w:rPr>
          <w:b/>
          <w:bCs/>
          <w:color w:val="7030A0"/>
          <w:sz w:val="24"/>
          <w:szCs w:val="24"/>
        </w:rPr>
        <w:t>A2</w:t>
      </w:r>
      <w:r w:rsidR="005D3A9D" w:rsidRPr="005D3A9D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 xml:space="preserve"> A2025/0933-SP/PC</w:t>
      </w:r>
      <w:r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5D3A9D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5D3A9D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5D3A9D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5D3A9D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1D22EAE0" w:rsidR="00827991" w:rsidRPr="005D3A9D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5D3A9D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5D3A9D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5D3A9D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Význam bondingu a vztahové vazby v rámci sociální práce s rodinným systémem</w:t>
      </w:r>
      <w:r w:rsidR="008127BA" w:rsidRPr="005D3A9D">
        <w:rPr>
          <w:color w:val="4472C4" w:themeColor="accent1"/>
          <w:sz w:val="24"/>
          <w:szCs w:val="24"/>
        </w:rPr>
        <w:t xml:space="preserve"> </w:t>
      </w:r>
      <w:r w:rsidRPr="005D3A9D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5D3A9D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5D3A9D">
        <w:rPr>
          <w:color w:val="4472C4" w:themeColor="accent1"/>
          <w:sz w:val="24"/>
          <w:szCs w:val="24"/>
        </w:rPr>
        <w:t xml:space="preserve"> </w:t>
      </w:r>
      <w:r w:rsidR="003E4DBE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5D3A9D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5D3A9D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320CA23E" w:rsidR="007C6CBC" w:rsidRPr="005D3A9D" w:rsidRDefault="005D3A9D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D3A9D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Význam bondingu a vztahové vazby v rámci sociální práce s rodinným systémem</w:t>
            </w:r>
            <w:r w:rsidR="008127BA" w:rsidRPr="005D3A9D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5D3A9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</w:t>
            </w:r>
            <w:proofErr w:type="gramStart"/>
            <w:r w:rsidR="00706E39" w:rsidRPr="005D3A9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videokurz)</w:t>
            </w:r>
            <w:r w:rsidR="00013D47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="00013D47" w:rsidRPr="00013D47"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  <w:t>NOVINKA</w:t>
            </w:r>
            <w:proofErr w:type="gramEnd"/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1DCDC8D5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MPSV:</w:t>
            </w:r>
            <w:r w:rsidR="005D3A9D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5D3A9D" w:rsidRPr="005D3A9D">
              <w:rPr>
                <w:rFonts w:ascii="TimesNewRomanUnicode,Bold" w:hAnsi="TimesNewRomanUnicode,Bold" w:cs="TimesNewRomanUnicode,Bold"/>
                <w:b/>
                <w:bCs/>
                <w:color w:val="7030A0"/>
                <w:sz w:val="24"/>
                <w:szCs w:val="24"/>
              </w:rPr>
              <w:t>A2025/0933-SP/PC</w:t>
            </w: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5D3A9D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F0783E">
              <w:rPr>
                <w:rFonts w:ascii="Calibri" w:eastAsia="Times New Roman" w:hAnsi="Calibri" w:cs="Calibri"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732D3863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5D3A9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5D3A9D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3AA2EE81" w:rsidR="00AE781E" w:rsidRPr="007C5CB2" w:rsidRDefault="005D3A9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lastRenderedPageBreak/>
        <w:t>Anotace</w:t>
      </w:r>
    </w:p>
    <w:p w14:paraId="0982DB06" w14:textId="77777777" w:rsidR="005D3A9D" w:rsidRPr="005D3A9D" w:rsidRDefault="005D3A9D" w:rsidP="005D3A9D">
      <w:pPr>
        <w:jc w:val="both"/>
        <w:rPr>
          <w:b/>
          <w:bCs/>
          <w:sz w:val="28"/>
          <w:szCs w:val="28"/>
        </w:rPr>
      </w:pPr>
      <w:r w:rsidRPr="005D3A9D">
        <w:rPr>
          <w:b/>
          <w:bCs/>
          <w:sz w:val="28"/>
          <w:szCs w:val="28"/>
        </w:rPr>
        <w:t>V úvodu semináře dojde na představení základních pojmů, bondingu a vztahové vazby, včetně historických souvislostí. Podrobnosti ke vztahové vazbě a čtyři základní typy jsou náplní dalšího bloku školení. Dále se seminář zaměří na faktory ovlivňující bonding a vztahovou vazbu. V nosné části školení pak přijde řada na bonding a vztahovou vazbu v rámci sociální práce s rodinným systémem. Obsahem jsou hlavní přístupy sociální práce a výzvy a překážky v sociální práci. Poslední blok semináře se věnuje praktickým dovednostem pro podporu zdravé vztahové vazby, což je pro sociální práci s rodinným systémem velmi potřebné. Na závěr proběhne stručná rekapitulace a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4CD6DF89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doplní svoje znalosti o bondingu a vztahové vazbě.</w:t>
      </w:r>
    </w:p>
    <w:p w14:paraId="6A4A5911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obnoví informace o typech vztahové vazby a jejich vlivu na vývoj dítěte.</w:t>
      </w:r>
    </w:p>
    <w:p w14:paraId="4147DA43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upevní své vědomosti o podrobnosti k faktorům ovlivňujícím bonding a vztahovou vazbu.</w:t>
      </w:r>
    </w:p>
    <w:p w14:paraId="7C8D0431" w14:textId="77777777" w:rsidR="005D3A9D" w:rsidRPr="005D3A9D" w:rsidRDefault="005D3A9D" w:rsidP="005D3A9D">
      <w:pPr>
        <w:pStyle w:val="Odstavecseseznamem"/>
        <w:numPr>
          <w:ilvl w:val="0"/>
          <w:numId w:val="11"/>
        </w:numPr>
        <w:rPr>
          <w:sz w:val="28"/>
          <w:szCs w:val="28"/>
        </w:rPr>
      </w:pPr>
      <w:r w:rsidRPr="005D3A9D">
        <w:rPr>
          <w:sz w:val="28"/>
          <w:szCs w:val="28"/>
        </w:rPr>
        <w:t>Absolventi doplní svoje praktické dovednosti na podporu zdravé vztahové vazby v rámci sociální práce s rodinným systémem</w:t>
      </w:r>
    </w:p>
    <w:p w14:paraId="4154E742" w14:textId="77777777" w:rsidR="005D3A9D" w:rsidRDefault="005D3A9D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účet č. 5000500032/5500 Raiffeisen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52F7" w14:textId="77777777" w:rsidR="00427C0A" w:rsidRDefault="00427C0A" w:rsidP="007C6CBC">
      <w:pPr>
        <w:spacing w:after="0" w:line="240" w:lineRule="auto"/>
      </w:pPr>
      <w:r>
        <w:separator/>
      </w:r>
    </w:p>
  </w:endnote>
  <w:endnote w:type="continuationSeparator" w:id="0">
    <w:p w14:paraId="1CFC8E57" w14:textId="77777777" w:rsidR="00427C0A" w:rsidRDefault="00427C0A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6983A" w14:textId="77777777" w:rsidR="00427C0A" w:rsidRDefault="00427C0A" w:rsidP="007C6CBC">
      <w:pPr>
        <w:spacing w:after="0" w:line="240" w:lineRule="auto"/>
      </w:pPr>
      <w:r>
        <w:separator/>
      </w:r>
    </w:p>
  </w:footnote>
  <w:footnote w:type="continuationSeparator" w:id="0">
    <w:p w14:paraId="1C7FB5CD" w14:textId="77777777" w:rsidR="00427C0A" w:rsidRDefault="00427C0A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E85DD8"/>
    <w:multiLevelType w:val="hybridMultilevel"/>
    <w:tmpl w:val="F49C9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C10C1"/>
    <w:multiLevelType w:val="hybridMultilevel"/>
    <w:tmpl w:val="CFDCD9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D5535"/>
    <w:multiLevelType w:val="hybridMultilevel"/>
    <w:tmpl w:val="7C4858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9"/>
  </w:num>
  <w:num w:numId="3" w16cid:durableId="1854491729">
    <w:abstractNumId w:val="5"/>
  </w:num>
  <w:num w:numId="4" w16cid:durableId="2115519055">
    <w:abstractNumId w:val="1"/>
  </w:num>
  <w:num w:numId="5" w16cid:durableId="1374233416">
    <w:abstractNumId w:val="8"/>
  </w:num>
  <w:num w:numId="6" w16cid:durableId="1945113337">
    <w:abstractNumId w:val="0"/>
  </w:num>
  <w:num w:numId="7" w16cid:durableId="1757438214">
    <w:abstractNumId w:val="10"/>
  </w:num>
  <w:num w:numId="8" w16cid:durableId="1801730017">
    <w:abstractNumId w:val="7"/>
  </w:num>
  <w:num w:numId="9" w16cid:durableId="1161501687">
    <w:abstractNumId w:val="2"/>
  </w:num>
  <w:num w:numId="10" w16cid:durableId="332614418">
    <w:abstractNumId w:val="6"/>
  </w:num>
  <w:num w:numId="11" w16cid:durableId="1611861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13D47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27C0A"/>
    <w:rsid w:val="00444631"/>
    <w:rsid w:val="00461685"/>
    <w:rsid w:val="00485885"/>
    <w:rsid w:val="0048767B"/>
    <w:rsid w:val="004A3A6B"/>
    <w:rsid w:val="004D70E1"/>
    <w:rsid w:val="004F4318"/>
    <w:rsid w:val="00511592"/>
    <w:rsid w:val="00511E9D"/>
    <w:rsid w:val="00527953"/>
    <w:rsid w:val="00543348"/>
    <w:rsid w:val="00592C5D"/>
    <w:rsid w:val="00592D24"/>
    <w:rsid w:val="005B1BF2"/>
    <w:rsid w:val="005B570F"/>
    <w:rsid w:val="005D3A9D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74052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22331"/>
    <w:rsid w:val="00B96AE0"/>
    <w:rsid w:val="00BC045E"/>
    <w:rsid w:val="00BD0CE2"/>
    <w:rsid w:val="00BF2156"/>
    <w:rsid w:val="00C34B82"/>
    <w:rsid w:val="00C46DB3"/>
    <w:rsid w:val="00C748C4"/>
    <w:rsid w:val="00CA4AB4"/>
    <w:rsid w:val="00CD6A32"/>
    <w:rsid w:val="00D04C53"/>
    <w:rsid w:val="00D05C1F"/>
    <w:rsid w:val="00DE09BD"/>
    <w:rsid w:val="00E63E83"/>
    <w:rsid w:val="00E72D01"/>
    <w:rsid w:val="00E96FCB"/>
    <w:rsid w:val="00EB5547"/>
    <w:rsid w:val="00ED67DC"/>
    <w:rsid w:val="00F0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2025-11-07T09:29:00Z</dcterms:created>
  <dcterms:modified xsi:type="dcterms:W3CDTF">2025-11-11T08:23:00Z</dcterms:modified>
</cp:coreProperties>
</file>