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20" w:line="240" w:lineRule="auto"/>
        <w:ind w:left="720" w:right="720" w:firstLine="0"/>
        <w:rPr>
          <w:rFonts w:ascii="Twentieth Century" w:cs="Twentieth Century" w:eastAsia="Twentieth Century" w:hAnsi="Twentieth Century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-457833</wp:posOffset>
                </wp:positionV>
                <wp:extent cx="8247380" cy="2141220"/>
                <wp:effectExtent b="0" l="0" r="0" t="0"/>
                <wp:wrapNone/>
                <wp:docPr id="50257383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222300" y="2709375"/>
                          <a:ext cx="8247380" cy="2141220"/>
                          <a:chOff x="1222300" y="2709375"/>
                          <a:chExt cx="8247375" cy="2141250"/>
                        </a:xfrm>
                      </wpg:grpSpPr>
                      <wpg:grpSp>
                        <wpg:cNvGrpSpPr/>
                        <wpg:grpSpPr>
                          <a:xfrm>
                            <a:off x="1222310" y="2709390"/>
                            <a:ext cx="8247380" cy="2141220"/>
                            <a:chOff x="-7144" y="-7144"/>
                            <a:chExt cx="6005513" cy="19240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-7144" y="-7144"/>
                              <a:ext cx="6005500" cy="192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2121694" y="-7144"/>
                              <a:ext cx="3876675" cy="1762125"/>
                            </a:xfrm>
                            <a:custGeom>
                              <a:rect b="b" l="l" r="r" t="t"/>
                              <a:pathLst>
                                <a:path extrusionOk="0" h="1762125" w="3876675">
                                  <a:moveTo>
                                    <a:pt x="3869531" y="1359694"/>
                                  </a:moveTo>
                                  <a:cubicBezTo>
                                    <a:pt x="3869531" y="1359694"/>
                                    <a:pt x="3379946" y="1834039"/>
                                    <a:pt x="2359819" y="1744504"/>
                                  </a:cubicBezTo>
                                  <a:cubicBezTo>
                                    <a:pt x="1339691" y="1654969"/>
                                    <a:pt x="936784" y="1180624"/>
                                    <a:pt x="7144" y="1287304"/>
                                  </a:cubicBezTo>
                                  <a:lnTo>
                                    <a:pt x="7144" y="7144"/>
                                  </a:lnTo>
                                  <a:lnTo>
                                    <a:pt x="3869531" y="7144"/>
                                  </a:lnTo>
                                  <a:lnTo>
                                    <a:pt x="3869531" y="13596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683C6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-7144" y="-7144"/>
                              <a:ext cx="6000750" cy="1924050"/>
                            </a:xfrm>
                            <a:custGeom>
                              <a:rect b="b" l="l" r="r" t="t"/>
                              <a:pathLst>
                                <a:path extrusionOk="0" h="1924050" w="6000750">
                                  <a:moveTo>
                                    <a:pt x="7144" y="1699736"/>
                                  </a:moveTo>
                                  <a:cubicBezTo>
                                    <a:pt x="7144" y="1699736"/>
                                    <a:pt x="1410176" y="2317909"/>
                                    <a:pt x="2934176" y="1484471"/>
                                  </a:cubicBezTo>
                                  <a:cubicBezTo>
                                    <a:pt x="4459129" y="651986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lnTo>
                                    <a:pt x="7144" y="16997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CADE4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-7144" y="-7144"/>
                              <a:ext cx="6000750" cy="904875"/>
                            </a:xfrm>
                            <a:custGeom>
                              <a:rect b="b" l="l" r="r" t="t"/>
                              <a:pathLst>
                                <a:path extrusionOk="0" h="904875" w="6000750">
                                  <a:moveTo>
                                    <a:pt x="7144" y="7144"/>
                                  </a:moveTo>
                                  <a:lnTo>
                                    <a:pt x="7144" y="613886"/>
                                  </a:lnTo>
                                  <a:cubicBezTo>
                                    <a:pt x="647224" y="1034891"/>
                                    <a:pt x="2136934" y="964406"/>
                                    <a:pt x="3546634" y="574834"/>
                                  </a:cubicBezTo>
                                  <a:cubicBezTo>
                                    <a:pt x="4882039" y="205264"/>
                                    <a:pt x="5998369" y="893921"/>
                                    <a:pt x="5998369" y="893921"/>
                                  </a:cubicBezTo>
                                  <a:lnTo>
                                    <a:pt x="5998369" y="7144"/>
                                  </a:lnTo>
                                  <a:lnTo>
                                    <a:pt x="7144" y="7144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1CADE4"/>
                                </a:gs>
                                <a:gs pos="100000">
                                  <a:srgbClr val="76CEEF"/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3176111" y="924401"/>
                              <a:ext cx="2819400" cy="828675"/>
                            </a:xfrm>
                            <a:custGeom>
                              <a:rect b="b" l="l" r="r" t="t"/>
                              <a:pathLst>
                                <a:path extrusionOk="0" h="828675" w="2819400">
                                  <a:moveTo>
                                    <a:pt x="7144" y="481489"/>
                                  </a:moveTo>
                                  <a:cubicBezTo>
                                    <a:pt x="380524" y="602456"/>
                                    <a:pt x="751999" y="764381"/>
                                    <a:pt x="1305401" y="812959"/>
                                  </a:cubicBezTo>
                                  <a:cubicBezTo>
                                    <a:pt x="2325529" y="902494"/>
                                    <a:pt x="2815114" y="428149"/>
                                    <a:pt x="2815114" y="428149"/>
                                  </a:cubicBezTo>
                                  <a:lnTo>
                                    <a:pt x="2815114" y="7144"/>
                                  </a:lnTo>
                                  <a:cubicBezTo>
                                    <a:pt x="2332196" y="236696"/>
                                    <a:pt x="1376839" y="568166"/>
                                    <a:pt x="7144" y="48148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2683C6"/>
                                </a:gs>
                                <a:gs pos="100000">
                                  <a:srgbClr val="1C6294"/>
                                </a:gs>
                              </a:gsLst>
                              <a:lin ang="0" scaled="0"/>
                            </a:gra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-457833</wp:posOffset>
                </wp:positionV>
                <wp:extent cx="8247380" cy="2141220"/>
                <wp:effectExtent b="0" l="0" r="0" t="0"/>
                <wp:wrapNone/>
                <wp:docPr id="50257383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7380" cy="21412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790.0" w:type="dxa"/>
        <w:jc w:val="center"/>
        <w:tblLayout w:type="fixed"/>
        <w:tblLook w:val="0600"/>
      </w:tblPr>
      <w:tblGrid>
        <w:gridCol w:w="10790"/>
        <w:tblGridChange w:id="0">
          <w:tblGrid>
            <w:gridCol w:w="10790"/>
          </w:tblGrid>
        </w:tblGridChange>
      </w:tblGrid>
      <w:tr>
        <w:trPr>
          <w:cantSplit w:val="0"/>
          <w:trHeight w:val="8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ind w:right="720"/>
              <w:rPr>
                <w:rFonts w:ascii="Twentieth Century" w:cs="Twentieth Century" w:eastAsia="Twentieth Century" w:hAnsi="Twentieth Century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Twentieth Century" w:cs="Twentieth Century" w:eastAsia="Twentieth Century" w:hAnsi="Twentieth Century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4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4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sz w:val="20"/>
                <w:szCs w:val="20"/>
                <w:rtl w:val="0"/>
              </w:rPr>
              <w:t xml:space="preserve">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TOP Semináře s.r.o.,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Vzdělávací agentura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Akreditace programů MPSV </w:t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Akreditovaná vzdělávací instituce MVČR AK/I-53/2017</w:t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1125"/>
                <w:tab w:val="left" w:leader="none" w:pos="1800"/>
                <w:tab w:val="center" w:leader="none" w:pos="5097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Zátiší 476/12, Ostrava – Svinov, 721 00</w:t>
            </w:r>
            <w:r w:rsidDel="00000000" w:rsidR="00000000" w:rsidRPr="00000000">
              <w:drawing>
                <wp:anchor allowOverlap="1" behindDoc="1" distB="0" distT="0" distL="0" distR="0" hidden="0" layoutInCell="1" locked="0" relativeHeight="0" simplePos="0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b="0" l="0" r="0" t="0"/>
                  <wp:wrapNone/>
                  <wp:docPr id="50257383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074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1800"/>
              </w:tabs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IČ: 06546897 </w:t>
            </w:r>
          </w:p>
          <w:p w:rsidR="00000000" w:rsidDel="00000000" w:rsidP="00000000" w:rsidRDefault="00000000" w:rsidRPr="00000000" w14:paraId="0000000A">
            <w:pPr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Mobil:602 707 481, E-mail: info@topseminare.cz</w:t>
            </w:r>
          </w:p>
          <w:p w:rsidR="00000000" w:rsidDel="00000000" w:rsidP="00000000" w:rsidRDefault="00000000" w:rsidRPr="00000000" w14:paraId="0000000B">
            <w:pPr>
              <w:spacing w:after="0" w:before="40" w:line="240" w:lineRule="auto"/>
              <w:ind w:left="720" w:right="720" w:firstLine="0"/>
              <w:rPr>
                <w:rFonts w:ascii="Arial" w:cs="Arial" w:eastAsia="Arial" w:hAnsi="Arial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více informací na: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www.topseminare.cz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1800"/>
              </w:tabs>
              <w:spacing w:after="0" w:before="40" w:line="240" w:lineRule="auto"/>
              <w:ind w:right="720"/>
              <w:rPr>
                <w:rFonts w:ascii="Twentieth Century" w:cs="Twentieth Century" w:eastAsia="Twentieth Century" w:hAnsi="Twentieth Century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after="40" w:before="840" w:line="240" w:lineRule="auto"/>
        <w:ind w:right="720"/>
        <w:rPr>
          <w:rFonts w:ascii="Twentieth Century" w:cs="Twentieth Century" w:eastAsia="Twentieth Century" w:hAnsi="Twentieth Century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color w:val="595959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595959"/>
          <w:sz w:val="20"/>
          <w:szCs w:val="20"/>
          <w:rtl w:val="0"/>
        </w:rPr>
        <w:t xml:space="preserve">si Vás dovolujeme pozvat na seminář</w:t>
      </w:r>
    </w:p>
    <w:p w:rsidR="00000000" w:rsidDel="00000000" w:rsidP="00000000" w:rsidRDefault="00000000" w:rsidRPr="00000000" w14:paraId="0000000F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color w:val="59595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b w:val="1"/>
          <w:color w:val="595959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800"/>
        </w:tabs>
        <w:spacing w:after="0" w:before="40" w:line="240" w:lineRule="auto"/>
        <w:ind w:left="720" w:right="720" w:firstLine="0"/>
        <w:jc w:val="center"/>
        <w:rPr>
          <w:rFonts w:ascii="Arial" w:cs="Arial" w:eastAsia="Arial" w:hAnsi="Arial"/>
          <w:color w:val="3366ff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b w:val="1"/>
          <w:color w:val="4472c4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52"/>
          <w:szCs w:val="52"/>
          <w:rtl w:val="0"/>
        </w:rPr>
        <w:t xml:space="preserve">„</w:t>
      </w:r>
      <w:r w:rsidDel="00000000" w:rsidR="00000000" w:rsidRPr="00000000">
        <w:rPr>
          <w:b w:val="1"/>
          <w:color w:val="4472c4"/>
          <w:sz w:val="52"/>
          <w:szCs w:val="52"/>
          <w:rtl w:val="0"/>
        </w:rPr>
        <w:t xml:space="preserve">Kurátoři pro děti a mládež v systému sociálně-právní ochrany dětí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52"/>
          <w:szCs w:val="52"/>
          <w:rtl w:val="0"/>
        </w:rPr>
        <w:t xml:space="preserve">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color w:val="44546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b w:val="1"/>
          <w:i w:val="0"/>
          <w:color w:val="7030a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7030a0"/>
          <w:sz w:val="24"/>
          <w:szCs w:val="24"/>
          <w:rtl w:val="0"/>
        </w:rPr>
        <w:t xml:space="preserve">Akreditace MPSV</w:t>
      </w:r>
      <w:r w:rsidDel="00000000" w:rsidR="00000000" w:rsidRPr="00000000">
        <w:rPr>
          <w:rFonts w:ascii="Arial" w:cs="Arial" w:eastAsia="Arial" w:hAnsi="Arial"/>
          <w:color w:val="7030a0"/>
          <w:sz w:val="24"/>
          <w:szCs w:val="24"/>
          <w:rtl w:val="0"/>
        </w:rPr>
        <w:t xml:space="preserve">: „</w:t>
      </w:r>
      <w:r w:rsidDel="00000000" w:rsidR="00000000" w:rsidRPr="00000000">
        <w:rPr>
          <w:color w:val="7030a0"/>
          <w:sz w:val="24"/>
          <w:szCs w:val="24"/>
          <w:rtl w:val="0"/>
        </w:rPr>
        <w:t xml:space="preserve">Kurátoři pro děti a mládež v systému sociálně-právní ochrany dětí</w:t>
      </w:r>
      <w:r w:rsidDel="00000000" w:rsidR="00000000" w:rsidRPr="00000000">
        <w:rPr>
          <w:rFonts w:ascii="Arial" w:cs="Arial" w:eastAsia="Arial" w:hAnsi="Arial"/>
          <w:color w:val="7030a0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1"/>
          <w:color w:val="7030a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7030a0"/>
          <w:sz w:val="24"/>
          <w:szCs w:val="24"/>
          <w:rtl w:val="0"/>
        </w:rPr>
        <w:t xml:space="preserve">A2023/1636-SP</w:t>
      </w:r>
      <w:r w:rsidDel="00000000" w:rsidR="00000000" w:rsidRPr="00000000">
        <w:rPr>
          <w:rFonts w:ascii="Arial" w:cs="Arial" w:eastAsia="Arial" w:hAnsi="Arial"/>
          <w:i w:val="1"/>
          <w:color w:val="7030a0"/>
          <w:sz w:val="24"/>
          <w:szCs w:val="24"/>
          <w:rtl w:val="0"/>
        </w:rPr>
        <w:t xml:space="preserve"> (8. hodin) kombinovaná forma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color w:val="4472c4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4472c4"/>
          <w:sz w:val="24"/>
          <w:szCs w:val="24"/>
          <w:rtl w:val="0"/>
        </w:rPr>
        <w:t xml:space="preserve">akreditace MVČR</w:t>
      </w:r>
      <w:r w:rsidDel="00000000" w:rsidR="00000000" w:rsidRPr="00000000">
        <w:rPr>
          <w:rFonts w:ascii="Arial" w:cs="Arial" w:eastAsia="Arial" w:hAnsi="Arial"/>
          <w:color w:val="4472c4"/>
          <w:sz w:val="24"/>
          <w:szCs w:val="24"/>
          <w:rtl w:val="0"/>
        </w:rPr>
        <w:t xml:space="preserve">: „</w:t>
      </w:r>
      <w:r w:rsidDel="00000000" w:rsidR="00000000" w:rsidRPr="00000000">
        <w:rPr>
          <w:color w:val="4472c4"/>
          <w:sz w:val="24"/>
          <w:szCs w:val="24"/>
          <w:rtl w:val="0"/>
        </w:rPr>
        <w:t xml:space="preserve">Kurátoři pro děti a mládež v systému sociálně-právní ochrany dětí</w:t>
      </w:r>
      <w:r w:rsidDel="00000000" w:rsidR="00000000" w:rsidRPr="00000000">
        <w:rPr>
          <w:rFonts w:ascii="Arial" w:cs="Arial" w:eastAsia="Arial" w:hAnsi="Arial"/>
          <w:b w:val="1"/>
          <w:color w:val="4472c4"/>
          <w:sz w:val="24"/>
          <w:szCs w:val="24"/>
          <w:rtl w:val="0"/>
        </w:rPr>
        <w:t xml:space="preserve"> (videokurz)</w:t>
      </w:r>
      <w:r w:rsidDel="00000000" w:rsidR="00000000" w:rsidRPr="00000000">
        <w:rPr>
          <w:rFonts w:ascii="Arial" w:cs="Arial" w:eastAsia="Arial" w:hAnsi="Arial"/>
          <w:color w:val="4472c4"/>
          <w:sz w:val="24"/>
          <w:szCs w:val="24"/>
          <w:rtl w:val="0"/>
        </w:rPr>
        <w:t xml:space="preserve">“</w:t>
      </w:r>
      <w:r w:rsidDel="00000000" w:rsidR="00000000" w:rsidRPr="00000000">
        <w:rPr>
          <w:color w:val="4472c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4472c4"/>
          <w:sz w:val="24"/>
          <w:szCs w:val="24"/>
          <w:rtl w:val="0"/>
        </w:rPr>
        <w:t xml:space="preserve">(program vypracovaný dle zákona č. 312/2002 Sb., o úřednících ÚSC v aktuálním znění. (8 hodin)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472c4"/>
          <w:sz w:val="24"/>
          <w:szCs w:val="24"/>
          <w:rtl w:val="0"/>
        </w:rPr>
        <w:t xml:space="preserve">Akreditace vzdělávací instituce AK/I-53/2017</w:t>
      </w:r>
      <w:r w:rsidDel="00000000" w:rsidR="00000000" w:rsidRPr="00000000">
        <w:rPr>
          <w:rtl w:val="0"/>
        </w:rPr>
      </w:r>
    </w:p>
    <w:tbl>
      <w:tblPr>
        <w:tblStyle w:val="Table2"/>
        <w:tblW w:w="10710.0" w:type="dxa"/>
        <w:jc w:val="left"/>
        <w:tblInd w:w="15.0" w:type="dxa"/>
        <w:tblLayout w:type="fixed"/>
        <w:tblLook w:val="0400"/>
      </w:tblPr>
      <w:tblGrid>
        <w:gridCol w:w="3450"/>
        <w:gridCol w:w="7260"/>
        <w:tblGridChange w:id="0">
          <w:tblGrid>
            <w:gridCol w:w="3450"/>
            <w:gridCol w:w="7260"/>
          </w:tblGrid>
        </w:tblGridChange>
      </w:tblGrid>
      <w:tr>
        <w:trPr>
          <w:cantSplit w:val="0"/>
          <w:trHeight w:val="642" w:hRule="atLeast"/>
          <w:tblHeader w:val="0"/>
        </w:trPr>
        <w:tc>
          <w:tcPr>
            <w:gridSpan w:val="2"/>
            <w:tcBorders>
              <w:left w:color="000000" w:space="0" w:sz="0" w:val="nil"/>
              <w:right w:color="000000" w:space="0" w:sz="0" w:val="nil"/>
            </w:tcBorders>
            <w:shd w:fill="00a4de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sz w:val="28"/>
                <w:szCs w:val="28"/>
                <w:rtl w:val="0"/>
              </w:rPr>
              <w:t xml:space="preserve">Kurátoři pro děti a mládež v systému sociálně-právní ochrany dětí</w:t>
            </w:r>
            <w:r w:rsidDel="00000000" w:rsidR="00000000" w:rsidRPr="00000000">
              <w:rPr>
                <w:b w:val="1"/>
                <w:color w:val="ffffff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ffff"/>
                <w:rtl w:val="0"/>
              </w:rPr>
              <w:t xml:space="preserve">(videokurz)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Akreditace: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hd w:fill="ffffff" w:val="clear"/>
              <w:spacing w:after="0" w:before="40" w:line="240" w:lineRule="auto"/>
              <w:ind w:right="720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800080"/>
                <w:sz w:val="24"/>
                <w:szCs w:val="24"/>
                <w:rtl w:val="0"/>
              </w:rPr>
              <w:t xml:space="preserve">MPSV: A2023/1636-SP (8. hodin) online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80008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333399"/>
                <w:sz w:val="20"/>
                <w:szCs w:val="20"/>
                <w:rtl w:val="0"/>
              </w:rPr>
              <w:t xml:space="preserve">MVČR: </w:t>
            </w:r>
            <w:r w:rsidDel="00000000" w:rsidR="00000000" w:rsidRPr="00000000">
              <w:rPr>
                <w:rFonts w:ascii="Calibri" w:cs="Calibri" w:eastAsia="Calibri" w:hAnsi="Calibri"/>
                <w:color w:val="4472c4"/>
                <w:rtl w:val="0"/>
              </w:rPr>
              <w:t xml:space="preserve">(program vypracovaný dle zákona č. 312/2002 Sb., o úřednících ÚSC v aktuálním znění. (8 hodin)) Akreditace vzdělávací instituce AK/I-53/2017 (videokurz)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Variabilní symbol: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20260120054</w:t>
            </w:r>
          </w:p>
        </w:tc>
      </w:tr>
      <w:tr>
        <w:trPr>
          <w:cantSplit w:val="0"/>
          <w:trHeight w:val="590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Přednáší: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Mgr. David Karl</w:t>
            </w:r>
            <w:r w:rsidDel="00000000" w:rsidR="00000000" w:rsidRPr="00000000">
              <w:rPr>
                <w:rFonts w:ascii="Calibri" w:cs="Calibri" w:eastAsia="Calibri" w:hAnsi="Calibri"/>
                <w:color w:val="000080"/>
                <w:sz w:val="24"/>
                <w:szCs w:val="24"/>
                <w:rtl w:val="0"/>
              </w:rPr>
              <w:t xml:space="preserve"> –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vedoucí oddělení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pro ohrožené děti, mládež a náhradní rodinnou péči Městská část Praha 8, </w:t>
            </w:r>
            <w:r w:rsidDel="00000000" w:rsidR="00000000" w:rsidRPr="00000000">
              <w:rPr>
                <w:rFonts w:ascii="Verdana" w:cs="Verdana" w:eastAsia="Verdana" w:hAnsi="Verdana"/>
                <w:color w:val="000000"/>
                <w:rtl w:val="0"/>
              </w:rPr>
              <w:t xml:space="preserve">místopředseda výboru profesní komory sociálně-právní ochrany dětí, lektor.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Termín konání: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2060"/>
                <w:sz w:val="24"/>
                <w:szCs w:val="24"/>
                <w:rtl w:val="0"/>
              </w:rPr>
              <w:t xml:space="preserve">11.12. 2026 (pátek) od 8,00 hod.</w:t>
            </w:r>
            <w:r w:rsidDel="00000000" w:rsidR="00000000" w:rsidRPr="00000000">
              <w:rPr>
                <w:color w:val="00206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(prezence od 7,30hod – 8,00 hod.)</w:t>
              <w:br w:type="textWrapping"/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Místo konání: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ff0000"/>
                <w:sz w:val="24"/>
                <w:szCs w:val="24"/>
                <w:rtl w:val="0"/>
              </w:rPr>
              <w:t xml:space="preserve">ON-LINE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Cena: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c00000"/>
                <w:sz w:val="24"/>
                <w:szCs w:val="24"/>
                <w:rtl w:val="0"/>
              </w:rPr>
              <w:t xml:space="preserve">1 990 Kč / osoba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rebuchet MS" w:cs="Trebuchet MS" w:eastAsia="Trebuchet MS" w:hAnsi="Trebuchet MS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color w:val="000000"/>
                <w:sz w:val="24"/>
                <w:szCs w:val="24"/>
                <w:rtl w:val="0"/>
              </w:rPr>
              <w:t xml:space="preserve">Organizace: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2060"/>
                <w:sz w:val="24"/>
                <w:szCs w:val="24"/>
                <w:rtl w:val="0"/>
              </w:rPr>
              <w:t xml:space="preserve">TOP. Semináře s.r.o.  IČ: 06546897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tabs>
          <w:tab w:val="left" w:leader="none" w:pos="10195"/>
        </w:tabs>
        <w:spacing w:after="0" w:before="40" w:line="240" w:lineRule="auto"/>
        <w:ind w:right="-11"/>
        <w:jc w:val="both"/>
        <w:rPr>
          <w:rFonts w:ascii="Arial" w:cs="Arial" w:eastAsia="Arial" w:hAnsi="Arial"/>
          <w:b w:val="1"/>
          <w:color w:val="00b0f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Anotace</w:t>
      </w:r>
    </w:p>
    <w:p w:rsidR="00000000" w:rsidDel="00000000" w:rsidP="00000000" w:rsidRDefault="00000000" w:rsidRPr="00000000" w14:paraId="00000028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V rámci semináře získá účastník znalosti o postavení kurately v systému sociálně-právní ochrany dětí, která je definována nejen zákonem č. 359/1999Sb. o sociálně-právní ochraně dětí, ale i mezinárodními smlouvami, Listinou základních práv a svobod a Ústavou ČR.</w:t>
      </w:r>
    </w:p>
    <w:p w:rsidR="00000000" w:rsidDel="00000000" w:rsidP="00000000" w:rsidRDefault="00000000" w:rsidRPr="00000000" w14:paraId="00000029">
      <w:pPr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Seminář je rozdělen do dvou částí. První, teoretická, část se věnuje právnímu rámci, cílové skupině, právům a povinnostem, multidisciplinární spolupráci a v neposlední řadě popisuje nástroje kurátora, které zákon umožňuje využívat. Současně jsou naznačeny aktuální trendy a zamýšlené změny v rámci ústavní a ochranné výchovy. Druhá, praktická, část semináře využívá praxi lektora a ostatních kurátorů a dává posluchačům nahlédnout do jednotlivých případů v rámci dobré praxe. Lektor zde kazuisticky popisuje příklady a vyvolává diskusi s účastníky semináře.</w:t>
      </w:r>
    </w:p>
    <w:p w:rsidR="00000000" w:rsidDel="00000000" w:rsidP="00000000" w:rsidRDefault="00000000" w:rsidRPr="00000000" w14:paraId="0000002A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sz w:val="28"/>
          <w:szCs w:val="28"/>
        </w:rPr>
      </w:pPr>
      <w:bookmarkStart w:colFirst="0" w:colLast="0" w:name="_heading=h.lx0uob2z2m68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Cílové kompetence</w:t>
      </w:r>
    </w:p>
    <w:p w:rsidR="00000000" w:rsidDel="00000000" w:rsidP="00000000" w:rsidRDefault="00000000" w:rsidRPr="00000000" w14:paraId="0000002C">
      <w:pPr>
        <w:ind w:left="705" w:hanging="705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•</w:t>
        <w:tab/>
        <w:t xml:space="preserve">Účastník získá orientaci v základních zákonných ustanoveních týkajících se problematiky kurately pro děti a    mládež</w:t>
      </w:r>
    </w:p>
    <w:p w:rsidR="00000000" w:rsidDel="00000000" w:rsidP="00000000" w:rsidRDefault="00000000" w:rsidRPr="00000000" w14:paraId="0000002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•</w:t>
        <w:tab/>
        <w:t xml:space="preserve">Účastník si získá orientaci v terminologii týkající se nezletilých s rizikovým chováním</w:t>
      </w:r>
    </w:p>
    <w:p w:rsidR="00000000" w:rsidDel="00000000" w:rsidP="00000000" w:rsidRDefault="00000000" w:rsidRPr="00000000" w14:paraId="0000002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•</w:t>
        <w:tab/>
        <w:t xml:space="preserve">Účastník si osvojí orientaci v kompetencích kurátorů pro děti a mládež</w:t>
      </w:r>
    </w:p>
    <w:p w:rsidR="00000000" w:rsidDel="00000000" w:rsidP="00000000" w:rsidRDefault="00000000" w:rsidRPr="00000000" w14:paraId="0000002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•</w:t>
        <w:tab/>
        <w:t xml:space="preserve">Účastník rozvíjí své schopnosti v souladu s aktuálními trendy v oblasti ústavní výchovy</w:t>
      </w:r>
    </w:p>
    <w:p w:rsidR="00000000" w:rsidDel="00000000" w:rsidP="00000000" w:rsidRDefault="00000000" w:rsidRPr="00000000" w14:paraId="00000030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40" w:line="240" w:lineRule="auto"/>
        <w:ind w:right="720"/>
        <w:rPr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before="40" w:line="240" w:lineRule="auto"/>
        <w:ind w:right="720"/>
        <w:rPr>
          <w:i w:val="1"/>
          <w:color w:val="00b0f0"/>
          <w:sz w:val="20"/>
          <w:szCs w:val="20"/>
        </w:rPr>
      </w:pPr>
      <w:r w:rsidDel="00000000" w:rsidR="00000000" w:rsidRPr="00000000">
        <w:rPr>
          <w:i w:val="1"/>
          <w:color w:val="00b0f0"/>
          <w:sz w:val="20"/>
          <w:szCs w:val="20"/>
          <w:rtl w:val="0"/>
        </w:rPr>
        <w:t xml:space="preserve">Součástí ceny je osvědčení o absolvování semináře, materiály k tématu v elektronické podobě. </w:t>
      </w:r>
    </w:p>
    <w:p w:rsidR="00000000" w:rsidDel="00000000" w:rsidP="00000000" w:rsidRDefault="00000000" w:rsidRPr="00000000" w14:paraId="00000033">
      <w:pPr>
        <w:spacing w:after="0" w:before="40" w:line="240" w:lineRule="auto"/>
        <w:ind w:right="720"/>
        <w:rPr>
          <w:b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before="40" w:line="240" w:lineRule="auto"/>
        <w:ind w:right="720"/>
        <w:rPr>
          <w:i w:val="1"/>
          <w:color w:val="00b0f0"/>
          <w:sz w:val="20"/>
          <w:szCs w:val="20"/>
        </w:rPr>
      </w:pPr>
      <w:r w:rsidDel="00000000" w:rsidR="00000000" w:rsidRPr="00000000">
        <w:rPr>
          <w:b w:val="1"/>
          <w:color w:val="00b0f0"/>
          <w:sz w:val="20"/>
          <w:szCs w:val="20"/>
          <w:rtl w:val="0"/>
        </w:rPr>
        <w:t xml:space="preserve">Jak se přihlásit: 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before="40" w:line="240" w:lineRule="auto"/>
        <w:ind w:right="-153"/>
        <w:rPr>
          <w:b w:val="1"/>
          <w:color w:val="595959"/>
          <w:sz w:val="20"/>
          <w:szCs w:val="20"/>
        </w:rPr>
      </w:pPr>
      <w:r w:rsidDel="00000000" w:rsidR="00000000" w:rsidRPr="00000000">
        <w:rPr>
          <w:color w:val="595959"/>
          <w:sz w:val="20"/>
          <w:szCs w:val="20"/>
          <w:rtl w:val="0"/>
        </w:rPr>
        <w:t xml:space="preserve">Zaplaťte účastnický poplatek a vyplňte přihlašovací formulář, prostřednictvím našich webových stránek </w:t>
      </w:r>
      <w:hyperlink r:id="rId9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www.topseminare.cz</w:t>
        </w:r>
      </w:hyperlink>
      <w:r w:rsidDel="00000000" w:rsidR="00000000" w:rsidRPr="00000000">
        <w:rPr>
          <w:color w:val="595959"/>
          <w:sz w:val="20"/>
          <w:szCs w:val="20"/>
          <w:rtl w:val="0"/>
        </w:rPr>
        <w:t xml:space="preserve"> .</w:t>
      </w:r>
      <w:r w:rsidDel="00000000" w:rsidR="00000000" w:rsidRPr="00000000">
        <w:rPr>
          <w:b w:val="1"/>
          <w:color w:val="595959"/>
          <w:sz w:val="20"/>
          <w:szCs w:val="20"/>
          <w:rtl w:val="0"/>
        </w:rPr>
        <w:t xml:space="preserve"> Úředníci ÚSC mohou realizovat platbu za seminář až po obdržení faktury po semináři</w:t>
      </w:r>
      <w:r w:rsidDel="00000000" w:rsidR="00000000" w:rsidRPr="00000000">
        <w:rPr>
          <w:color w:val="595959"/>
          <w:sz w:val="20"/>
          <w:szCs w:val="20"/>
          <w:rtl w:val="0"/>
        </w:rPr>
        <w:t xml:space="preserve">. Nejasnosti a dotazy rádi vyřídíme telefonicky či emailem (kontakty viz výše nebo na webových stránkách). </w:t>
      </w:r>
      <w:r w:rsidDel="00000000" w:rsidR="00000000" w:rsidRPr="00000000">
        <w:rPr>
          <w:b w:val="1"/>
          <w:color w:val="595959"/>
          <w:sz w:val="20"/>
          <w:szCs w:val="20"/>
          <w:rtl w:val="0"/>
        </w:rPr>
        <w:t xml:space="preserve">Ve lhůtě tři dny a méně před konáním akce není možné zrušit účast na semináři. Kdykoli je možné nahlásit náhradníka na </w:t>
      </w:r>
      <w:hyperlink r:id="rId10">
        <w:r w:rsidDel="00000000" w:rsidR="00000000" w:rsidRPr="00000000">
          <w:rPr>
            <w:b w:val="1"/>
            <w:color w:val="0000ff"/>
            <w:sz w:val="20"/>
            <w:szCs w:val="20"/>
            <w:u w:val="single"/>
            <w:rtl w:val="0"/>
          </w:rPr>
          <w:t xml:space="preserve">info@topseminare.cz</w:t>
        </w:r>
      </w:hyperlink>
      <w:r w:rsidDel="00000000" w:rsidR="00000000" w:rsidRPr="00000000">
        <w:rPr>
          <w:b w:val="1"/>
          <w:color w:val="595959"/>
          <w:sz w:val="20"/>
          <w:szCs w:val="20"/>
          <w:rtl w:val="0"/>
        </w:rPr>
        <w:t xml:space="preserve">. </w:t>
      </w:r>
    </w:p>
    <w:p w:rsidR="00000000" w:rsidDel="00000000" w:rsidP="00000000" w:rsidRDefault="00000000" w:rsidRPr="00000000" w14:paraId="00000036">
      <w:pPr>
        <w:spacing w:after="0" w:before="40" w:line="240" w:lineRule="auto"/>
        <w:ind w:left="720" w:right="-153" w:firstLine="0"/>
        <w:jc w:val="both"/>
        <w:rPr>
          <w:b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before="40" w:line="240" w:lineRule="auto"/>
        <w:ind w:right="-153"/>
        <w:rPr>
          <w:b w:val="1"/>
          <w:color w:val="00b0f0"/>
          <w:sz w:val="20"/>
          <w:szCs w:val="20"/>
        </w:rPr>
      </w:pPr>
      <w:r w:rsidDel="00000000" w:rsidR="00000000" w:rsidRPr="00000000">
        <w:rPr>
          <w:b w:val="1"/>
          <w:color w:val="00b0f0"/>
          <w:sz w:val="20"/>
          <w:szCs w:val="20"/>
          <w:rtl w:val="0"/>
        </w:rPr>
        <w:t xml:space="preserve">Zaplacení a smluvní podmínky: </w:t>
      </w:r>
    </w:p>
    <w:p w:rsidR="00000000" w:rsidDel="00000000" w:rsidP="00000000" w:rsidRDefault="00000000" w:rsidRPr="00000000" w14:paraId="00000038">
      <w:pPr>
        <w:spacing w:after="0" w:before="40" w:line="240" w:lineRule="auto"/>
        <w:ind w:right="-11"/>
        <w:jc w:val="both"/>
        <w:rPr>
          <w:color w:val="595959"/>
          <w:sz w:val="20"/>
          <w:szCs w:val="20"/>
        </w:rPr>
      </w:pPr>
      <w:r w:rsidDel="00000000" w:rsidR="00000000" w:rsidRPr="00000000">
        <w:rPr>
          <w:color w:val="595959"/>
          <w:sz w:val="20"/>
          <w:szCs w:val="20"/>
          <w:rtl w:val="0"/>
        </w:rPr>
        <w:t xml:space="preserve">Úhradu semináře proveďte na náš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účet č. 5000500032/5500 Raiffeisen Bank</w:t>
      </w:r>
      <w:r w:rsidDel="00000000" w:rsidR="00000000" w:rsidRPr="00000000">
        <w:rPr>
          <w:color w:val="595959"/>
          <w:sz w:val="20"/>
          <w:szCs w:val="20"/>
          <w:rtl w:val="0"/>
        </w:rPr>
        <w:t xml:space="preserve">, neopomeňte uvést správný variabilní symbol. Daňový doklad obdrží účastníci v den konání semináře. V případě neúčasti se vložné nevrací, ale je možné poslat náhradníka. </w:t>
      </w:r>
    </w:p>
    <w:p w:rsidR="00000000" w:rsidDel="00000000" w:rsidP="00000000" w:rsidRDefault="00000000" w:rsidRPr="00000000" w14:paraId="00000039">
      <w:pPr>
        <w:spacing w:after="0" w:before="40" w:line="240" w:lineRule="auto"/>
        <w:ind w:left="720" w:right="720" w:firstLine="0"/>
        <w:jc w:val="both"/>
        <w:rPr>
          <w:rFonts w:ascii="Arial" w:cs="Arial" w:eastAsia="Arial" w:hAnsi="Arial"/>
          <w:i w:val="1"/>
          <w:color w:val="00b0f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before="40" w:line="240" w:lineRule="auto"/>
        <w:ind w:left="720" w:right="720" w:firstLine="0"/>
        <w:jc w:val="both"/>
        <w:rPr>
          <w:rFonts w:ascii="Times New Roman" w:cs="Times New Roman" w:eastAsia="Times New Roman" w:hAnsi="Times New Roman"/>
          <w:b w:val="1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360" w:before="40" w:line="240" w:lineRule="auto"/>
        <w:ind w:left="720" w:right="720" w:firstLine="0"/>
        <w:rPr>
          <w:rFonts w:ascii="Twentieth Century" w:cs="Twentieth Century" w:eastAsia="Twentieth Century" w:hAnsi="Twentieth Century"/>
          <w:color w:val="595959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headerReference r:id="rId13" w:type="even"/>
      <w:footerReference r:id="rId14" w:type="default"/>
      <w:footerReference r:id="rId15" w:type="first"/>
      <w:footerReference r:id="rId16" w:type="even"/>
      <w:pgSz w:h="16838" w:w="11906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Trebuchet MS"/>
  <w:font w:name="Verdana"/>
  <w:font w:name="Twentieth Century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link w:val="ZhlavChar"/>
    <w:uiPriority w:val="99"/>
    <w:semiHidden w:val="1"/>
    <w:unhideWhenUsed w:val="1"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semiHidden w:val="1"/>
    <w:rsid w:val="007C6CBC"/>
  </w:style>
  <w:style w:type="paragraph" w:styleId="Zpat">
    <w:name w:val="footer"/>
    <w:basedOn w:val="Normln"/>
    <w:link w:val="ZpatChar"/>
    <w:uiPriority w:val="99"/>
    <w:semiHidden w:val="1"/>
    <w:unhideWhenUsed w:val="1"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semiHidden w:val="1"/>
    <w:rsid w:val="007C6CBC"/>
  </w:style>
  <w:style w:type="paragraph" w:styleId="Odstavecseseznamem">
    <w:name w:val="List Paragraph"/>
    <w:basedOn w:val="Normln"/>
    <w:uiPriority w:val="34"/>
    <w:qFormat w:val="1"/>
    <w:rsid w:val="007C5CB2"/>
    <w:pPr>
      <w:spacing w:after="0" w:line="240" w:lineRule="auto"/>
      <w:ind w:left="720"/>
    </w:pPr>
    <w:rPr>
      <w:rFonts w:ascii="Times New Roman" w:cs="Times New Roman" w:eastAsia="Calibri" w:hAnsi="Times New Roman"/>
      <w:kern w:val="0"/>
      <w:sz w:val="24"/>
      <w:szCs w:val="24"/>
      <w:lang w:eastAsia="cs-CZ"/>
    </w:rPr>
  </w:style>
  <w:style w:type="character" w:styleId="Siln">
    <w:name w:val="Strong"/>
    <w:uiPriority w:val="22"/>
    <w:qFormat w:val="1"/>
    <w:rsid w:val="001D5AB2"/>
    <w:rPr>
      <w:b w:val="1"/>
      <w:bCs w:val="1"/>
    </w:rPr>
  </w:style>
  <w:style w:type="character" w:styleId="Zvraznn" w:customStyle="1">
    <w:name w:val="Zvýraznění"/>
    <w:uiPriority w:val="20"/>
    <w:qFormat w:val="1"/>
    <w:rsid w:val="001D5AB2"/>
    <w:rPr>
      <w:i w:val="1"/>
      <w:iCs w:val="1"/>
    </w:rPr>
  </w:style>
  <w:style w:type="paragraph" w:styleId="-wm-msolistparagraph" w:customStyle="1">
    <w:name w:val="-wm-msolistparagraph"/>
    <w:basedOn w:val="Normln"/>
    <w:rsid w:val="005B1BF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cs-CZ"/>
    </w:rPr>
  </w:style>
  <w:style w:type="character" w:styleId="htmlcode" w:customStyle="1">
    <w:name w:val="htmlcode"/>
    <w:basedOn w:val="Standardnpsmoodstavce"/>
    <w:rsid w:val="005B1BF2"/>
  </w:style>
  <w:style w:type="paragraph" w:styleId="Default" w:customStyle="1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kern w:val="0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 w:val="1"/>
    <w:rsid w:val="00141AA8"/>
    <w:pPr>
      <w:spacing w:after="100" w:afterAutospacing="1" w:before="100" w:beforeAutospacing="1" w:line="240" w:lineRule="auto"/>
      <w:jc w:val="both"/>
    </w:pPr>
    <w:rPr>
      <w:rFonts w:ascii="Arial Unicode MS" w:cs="Arial Unicode MS" w:eastAsia="Arial Unicode MS" w:hAnsi="Arial Unicode MS"/>
      <w:color w:val="000000"/>
      <w:kern w:val="0"/>
      <w:sz w:val="24"/>
      <w:szCs w:val="24"/>
      <w:lang w:eastAsia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yperlink" Target="mailto:info@topseminare.cz" TargetMode="External"/><Relationship Id="rId13" Type="http://schemas.openxmlformats.org/officeDocument/2006/relationships/header" Target="head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topseminare.cz" TargetMode="External"/><Relationship Id="rId15" Type="http://schemas.openxmlformats.org/officeDocument/2006/relationships/footer" Target="footer3.xml"/><Relationship Id="rId14" Type="http://schemas.openxmlformats.org/officeDocument/2006/relationships/footer" Target="foot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m5yft7D6kVHBo8b4aUPSh9wb/w==">CgMxLjAyDmgubHgwdW9iMnoybTY4OAByITFRT1VpZzFlWGY2cjdTNUtjeVk2Mm5HYXJXV1RKVUF2NA==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2025-10-31T09:37:00Z</dcterms:created>
  <dc:creator>Josefína Staňková</dc:creator>
</cp:coreProperties>
</file>