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76CC24DD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079B59D7" w:rsidR="007C6CBC" w:rsidRPr="0048767B" w:rsidRDefault="007C6CBC" w:rsidP="0048767B">
      <w:pPr>
        <w:jc w:val="center"/>
        <w:rPr>
          <w:b/>
          <w:color w:val="4472C4" w:themeColor="accent1"/>
          <w:sz w:val="36"/>
          <w:szCs w:val="36"/>
        </w:rPr>
      </w:pPr>
      <w:r w:rsidRPr="0048767B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48767B" w:rsidRPr="0048767B">
        <w:rPr>
          <w:b/>
          <w:color w:val="4472C4" w:themeColor="accent1"/>
          <w:sz w:val="36"/>
          <w:szCs w:val="36"/>
        </w:rPr>
        <w:t>Psychologické minimum z vývojové psychologie dětí a mladistvých pro potřeby sociální práce</w:t>
      </w:r>
      <w:r w:rsidRPr="0048767B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5A7D6D67" w:rsidR="00141AA8" w:rsidRPr="0048767B" w:rsidRDefault="00141AA8" w:rsidP="0048767B">
      <w:pPr>
        <w:rPr>
          <w:rStyle w:val="Zvraznn"/>
          <w:i w:val="0"/>
          <w:iCs w:val="0"/>
          <w:color w:val="7030A0"/>
        </w:rPr>
      </w:pPr>
      <w:r w:rsidRPr="0048767B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48767B">
        <w:rPr>
          <w:rFonts w:ascii="Arial" w:hAnsi="Arial" w:cs="Arial"/>
          <w:color w:val="7030A0"/>
          <w:sz w:val="24"/>
          <w:szCs w:val="24"/>
        </w:rPr>
        <w:t>: „</w:t>
      </w:r>
      <w:r w:rsidR="0048767B" w:rsidRPr="0048767B">
        <w:rPr>
          <w:color w:val="7030A0"/>
        </w:rPr>
        <w:t>Psychologické minimum z vývojové psychologie dětí a mladistvých pro potřeby sociální práce</w:t>
      </w:r>
      <w:r w:rsidRPr="0048767B">
        <w:rPr>
          <w:rFonts w:ascii="Arial" w:hAnsi="Arial" w:cs="Arial"/>
          <w:color w:val="7030A0"/>
          <w:sz w:val="24"/>
          <w:szCs w:val="24"/>
        </w:rPr>
        <w:t>“</w:t>
      </w:r>
      <w:r w:rsidR="008127BA" w:rsidRPr="0048767B">
        <w:rPr>
          <w:b/>
          <w:bCs/>
          <w:color w:val="7030A0"/>
        </w:rPr>
        <w:t xml:space="preserve"> </w:t>
      </w:r>
      <w:r w:rsidR="0048767B" w:rsidRPr="0048767B">
        <w:rPr>
          <w:color w:val="7030A0"/>
          <w:sz w:val="24"/>
          <w:szCs w:val="24"/>
        </w:rPr>
        <w:t>A2022/0521-SP</w:t>
      </w:r>
      <w:r w:rsidRPr="0048767B">
        <w:rPr>
          <w:rStyle w:val="Zvraznn"/>
          <w:rFonts w:ascii="Arial" w:hAnsi="Arial" w:cs="Arial"/>
          <w:color w:val="7030A0"/>
          <w:sz w:val="24"/>
          <w:szCs w:val="24"/>
        </w:rPr>
        <w:t xml:space="preserve"> (</w:t>
      </w:r>
      <w:r w:rsidR="00AC3A43" w:rsidRPr="0048767B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48767B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48767B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48767B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48767B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32295852" w:rsidR="00827991" w:rsidRPr="0048767B" w:rsidRDefault="00141AA8" w:rsidP="008127BA">
      <w:pPr>
        <w:autoSpaceDE w:val="0"/>
        <w:autoSpaceDN w:val="0"/>
        <w:adjustRightInd w:val="0"/>
        <w:spacing w:after="0" w:line="240" w:lineRule="auto"/>
        <w:rPr>
          <w:b/>
          <w:bCs/>
          <w:color w:val="4472C4" w:themeColor="accent1"/>
          <w:sz w:val="28"/>
          <w:szCs w:val="28"/>
        </w:rPr>
      </w:pPr>
      <w:r w:rsidRPr="0048767B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48767B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48767B" w:rsidRPr="0048767B">
        <w:rPr>
          <w:color w:val="4472C4" w:themeColor="accent1"/>
        </w:rPr>
        <w:t>Psychologické minimum z vývojové psychologie dětí a mladistvých pro potřeby sociální práce</w:t>
      </w:r>
      <w:r w:rsidR="008127BA" w:rsidRPr="0048767B">
        <w:rPr>
          <w:color w:val="4472C4" w:themeColor="accent1"/>
          <w:sz w:val="28"/>
          <w:szCs w:val="28"/>
        </w:rPr>
        <w:t xml:space="preserve"> </w:t>
      </w:r>
      <w:r w:rsidRPr="0048767B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48767B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48767B">
        <w:rPr>
          <w:color w:val="4472C4" w:themeColor="accent1"/>
          <w:sz w:val="24"/>
          <w:szCs w:val="24"/>
        </w:rPr>
        <w:t xml:space="preserve"> </w:t>
      </w:r>
      <w:r w:rsidR="003E4DBE" w:rsidRPr="0048767B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48767B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48767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48767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8127BA" w:rsidRPr="008127BA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4B230A3" w:rsidR="007C6CBC" w:rsidRPr="0048767B" w:rsidRDefault="00AC3A43" w:rsidP="008127B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127BA">
              <w:rPr>
                <w:b/>
                <w:bCs/>
                <w:color w:val="FFFFFF" w:themeColor="background1"/>
              </w:rPr>
              <w:t xml:space="preserve"> </w:t>
            </w:r>
            <w:r w:rsidR="0048767B" w:rsidRPr="0048767B">
              <w:rPr>
                <w:b/>
                <w:bCs/>
                <w:color w:val="FFFFFF" w:themeColor="background1"/>
                <w:sz w:val="28"/>
                <w:szCs w:val="28"/>
              </w:rPr>
              <w:t>Psychologické minimum z vývojové psychologie dětí a mladistvých pro potřeby sociální práce</w:t>
            </w:r>
            <w:r w:rsidR="008127BA" w:rsidRPr="0048767B">
              <w:rPr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06E39" w:rsidRPr="0048767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(videokurz)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43BC22E4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8767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48767B" w:rsidRPr="0048767B">
              <w:rPr>
                <w:color w:val="7030A0"/>
                <w:sz w:val="24"/>
                <w:szCs w:val="24"/>
              </w:rPr>
              <w:t>A2022/0521-SP</w:t>
            </w:r>
            <w:r w:rsidRPr="0048767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48767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48767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48767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48767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Pr="0048767B">
              <w:rPr>
                <w:rFonts w:ascii="Calibri" w:eastAsia="Times New Roman" w:hAnsi="Calibri" w:cs="Calibri"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7D212DF7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48767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48767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3C1EA32D" w:rsidR="00AE781E" w:rsidRPr="007C5CB2" w:rsidRDefault="00DE09BD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Janošková–</w:t>
            </w:r>
            <w:r w:rsidRPr="00DE09BD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psycholog s mnohaletou praxí v oboru. Zkušená lektorka</w:t>
            </w:r>
            <w:r w:rsidR="00EB5547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psychoterapeutická práce s dětmi, které se staly oběťmi trestných činů.</w:t>
            </w: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28A3F4B8" w:rsidR="00AE781E" w:rsidRPr="007C5CB2" w:rsidRDefault="0048767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8127BA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pátek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8B40E68" w14:textId="77777777" w:rsidR="008127BA" w:rsidRDefault="008127BA" w:rsidP="003E4DBE">
      <w:pPr>
        <w:rPr>
          <w:b/>
          <w:bCs/>
          <w:sz w:val="28"/>
          <w:szCs w:val="28"/>
        </w:rPr>
      </w:pPr>
    </w:p>
    <w:p w14:paraId="6F5C5D4F" w14:textId="5F33FE6A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76DB8A33" w14:textId="77777777" w:rsidR="0048767B" w:rsidRPr="0048767B" w:rsidRDefault="0048767B" w:rsidP="0048767B">
      <w:pPr>
        <w:jc w:val="both"/>
        <w:rPr>
          <w:b/>
          <w:bCs/>
          <w:sz w:val="28"/>
          <w:szCs w:val="28"/>
        </w:rPr>
      </w:pPr>
      <w:r w:rsidRPr="0048767B">
        <w:rPr>
          <w:b/>
          <w:bCs/>
          <w:sz w:val="28"/>
          <w:szCs w:val="28"/>
        </w:rPr>
        <w:t>Kurz se zaobírá vývojovou psychologií dětí a mladistvých pro účely zvládání sociální práce s dětmi a mladistvými. V rámci dětství dojde na všechna důležitá období tohoto vývojového stádia. Od prenatálního, novorozeneckého, kojeneckého, až po batolecí období. Součástí problematiky je rovněž pojetí vztahové vazby-</w:t>
      </w:r>
      <w:proofErr w:type="spellStart"/>
      <w:r w:rsidRPr="0048767B">
        <w:rPr>
          <w:b/>
          <w:bCs/>
          <w:sz w:val="28"/>
          <w:szCs w:val="28"/>
        </w:rPr>
        <w:t>attachmentu</w:t>
      </w:r>
      <w:proofErr w:type="spellEnd"/>
      <w:r w:rsidRPr="0048767B">
        <w:rPr>
          <w:b/>
          <w:bCs/>
          <w:sz w:val="28"/>
          <w:szCs w:val="28"/>
        </w:rPr>
        <w:t>. V rámci předškolního období se školení zaobírá vývojem základních schopností a dovedností, kognitivním vývojem, emočním vývojem a socializací. Problematika rozvoje komunikačních dovedností je rovněž součástí tohoto bloku. V rámci mladšího školního věku se seminář zaměří na nezbytné předpoklady pro úspěšný školní začátek, vývojový stav dítěte v době jeho vstupu do školy a nároky školy na dítě. Pro období dospívání je nosná problematika zaměřená na specifické vývojové problémy dospívajících v současném období a ohrožení psychického vývoje dospívajících. Specifika sociální práce jsou pak probírána v rámci každého vývojového období. Na závěr dojde na rekapitulaci a dotazy posluchačů.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27A228A4" w14:textId="77777777" w:rsidR="0048767B" w:rsidRPr="0048767B" w:rsidRDefault="0048767B" w:rsidP="0048767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8767B">
        <w:rPr>
          <w:sz w:val="28"/>
          <w:szCs w:val="28"/>
        </w:rPr>
        <w:t>Absolventi si obnovují znalosti o jednotlivých vývojových období dětí a mladistvých</w:t>
      </w:r>
    </w:p>
    <w:p w14:paraId="12FDE490" w14:textId="77777777" w:rsidR="0048767B" w:rsidRPr="0048767B" w:rsidRDefault="0048767B" w:rsidP="0048767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8767B">
        <w:rPr>
          <w:sz w:val="28"/>
          <w:szCs w:val="28"/>
        </w:rPr>
        <w:t>Absolventi doplňují svoje znalosti v oblasti rozvoje komunikačních dovedností v jednotlivých vývojových etapách,</w:t>
      </w:r>
    </w:p>
    <w:p w14:paraId="313618A4" w14:textId="77777777" w:rsidR="0048767B" w:rsidRPr="0048767B" w:rsidRDefault="0048767B" w:rsidP="0048767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8767B">
        <w:rPr>
          <w:sz w:val="28"/>
          <w:szCs w:val="28"/>
        </w:rPr>
        <w:t>Absolventi si doplňují konkrétní specifika sociální práce v jednotlivých vývojových obdobích.</w:t>
      </w:r>
    </w:p>
    <w:p w14:paraId="035C2B7E" w14:textId="77777777" w:rsidR="0048767B" w:rsidRPr="0048767B" w:rsidRDefault="0048767B" w:rsidP="0048767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8767B">
        <w:rPr>
          <w:sz w:val="28"/>
          <w:szCs w:val="28"/>
        </w:rPr>
        <w:t>Absolventi umí vysvětlit význam vztahové vazby pro zdravý a bezpečný vývoj dítěte</w:t>
      </w:r>
    </w:p>
    <w:p w14:paraId="01FD2112" w14:textId="77777777" w:rsidR="0048767B" w:rsidRPr="0048767B" w:rsidRDefault="0048767B" w:rsidP="0048767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8767B">
        <w:rPr>
          <w:sz w:val="28"/>
          <w:szCs w:val="28"/>
        </w:rPr>
        <w:t xml:space="preserve">Absolventi obnovují své znalosti o nezbytné předpoklady pro úspěšný školní začátek, umí popsat vývojový stav dítěte v době jeho vstupu do školy a nároky školy na dítě. </w:t>
      </w:r>
    </w:p>
    <w:p w14:paraId="66EA6E07" w14:textId="77777777" w:rsidR="0048767B" w:rsidRPr="0048767B" w:rsidRDefault="0048767B" w:rsidP="0048767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48767B">
        <w:rPr>
          <w:sz w:val="28"/>
          <w:szCs w:val="28"/>
        </w:rPr>
        <w:t>Absolventi upevňují své znalosti z oblasti období dospívání a rozumí charakteristickým znakům s tímto vývojovým obdobím spojeným.</w:t>
      </w:r>
    </w:p>
    <w:p w14:paraId="0970E6D5" w14:textId="77777777" w:rsidR="008127BA" w:rsidRDefault="008127BA" w:rsidP="008C35FE">
      <w:pPr>
        <w:rPr>
          <w:b/>
          <w:bCs/>
          <w:sz w:val="28"/>
          <w:szCs w:val="28"/>
        </w:rPr>
      </w:pP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AF1E" w14:textId="77777777" w:rsidR="004F4318" w:rsidRDefault="004F4318" w:rsidP="007C6CBC">
      <w:pPr>
        <w:spacing w:after="0" w:line="240" w:lineRule="auto"/>
      </w:pPr>
      <w:r>
        <w:separator/>
      </w:r>
    </w:p>
  </w:endnote>
  <w:endnote w:type="continuationSeparator" w:id="0">
    <w:p w14:paraId="5C2077D6" w14:textId="77777777" w:rsidR="004F4318" w:rsidRDefault="004F4318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660EF" w14:textId="77777777" w:rsidR="004F4318" w:rsidRDefault="004F4318" w:rsidP="007C6CBC">
      <w:pPr>
        <w:spacing w:after="0" w:line="240" w:lineRule="auto"/>
      </w:pPr>
      <w:r>
        <w:separator/>
      </w:r>
    </w:p>
  </w:footnote>
  <w:footnote w:type="continuationSeparator" w:id="0">
    <w:p w14:paraId="1CFAA461" w14:textId="77777777" w:rsidR="004F4318" w:rsidRDefault="004F4318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32761"/>
    <w:multiLevelType w:val="hybridMultilevel"/>
    <w:tmpl w:val="D6E000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51B03"/>
    <w:multiLevelType w:val="hybridMultilevel"/>
    <w:tmpl w:val="F1864A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2"/>
  </w:num>
  <w:num w:numId="2" w16cid:durableId="1666737415">
    <w:abstractNumId w:val="6"/>
  </w:num>
  <w:num w:numId="3" w16cid:durableId="1854491729">
    <w:abstractNumId w:val="3"/>
  </w:num>
  <w:num w:numId="4" w16cid:durableId="2115519055">
    <w:abstractNumId w:val="1"/>
  </w:num>
  <w:num w:numId="5" w16cid:durableId="1374233416">
    <w:abstractNumId w:val="5"/>
  </w:num>
  <w:num w:numId="6" w16cid:durableId="1945113337">
    <w:abstractNumId w:val="0"/>
  </w:num>
  <w:num w:numId="7" w16cid:durableId="1757438214">
    <w:abstractNumId w:val="7"/>
  </w:num>
  <w:num w:numId="8" w16cid:durableId="1801730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7371C"/>
    <w:rsid w:val="0039733E"/>
    <w:rsid w:val="003A294B"/>
    <w:rsid w:val="003E4DBE"/>
    <w:rsid w:val="00444631"/>
    <w:rsid w:val="00461685"/>
    <w:rsid w:val="0048767B"/>
    <w:rsid w:val="004D70E1"/>
    <w:rsid w:val="004F4318"/>
    <w:rsid w:val="00511592"/>
    <w:rsid w:val="00511E9D"/>
    <w:rsid w:val="00527953"/>
    <w:rsid w:val="00543348"/>
    <w:rsid w:val="00592D24"/>
    <w:rsid w:val="005B1BF2"/>
    <w:rsid w:val="005B570F"/>
    <w:rsid w:val="005F36FF"/>
    <w:rsid w:val="00616246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127BA"/>
    <w:rsid w:val="00827991"/>
    <w:rsid w:val="00850C24"/>
    <w:rsid w:val="00851163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96AE0"/>
    <w:rsid w:val="00BC045E"/>
    <w:rsid w:val="00BD0CE2"/>
    <w:rsid w:val="00BF2156"/>
    <w:rsid w:val="00C34B82"/>
    <w:rsid w:val="00C46DB3"/>
    <w:rsid w:val="00C748C4"/>
    <w:rsid w:val="00CA4AB4"/>
    <w:rsid w:val="00D04C53"/>
    <w:rsid w:val="00D05C1F"/>
    <w:rsid w:val="00DE09BD"/>
    <w:rsid w:val="00E63E83"/>
    <w:rsid w:val="00E72D01"/>
    <w:rsid w:val="00E96FCB"/>
    <w:rsid w:val="00EB5547"/>
    <w:rsid w:val="00ED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2</cp:revision>
  <dcterms:created xsi:type="dcterms:W3CDTF">2025-11-06T09:10:00Z</dcterms:created>
  <dcterms:modified xsi:type="dcterms:W3CDTF">2025-11-06T09:10:00Z</dcterms:modified>
</cp:coreProperties>
</file>