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375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0" cy="2141220"/>
                            <a:chOff x="-7144" y="-7144"/>
                            <a:chExt cx="6005513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rect b="b" l="l" r="r" t="t"/>
                              <a:pathLst>
                                <a:path extrusionOk="0" h="1762125" w="387667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83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AD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1CADE4"/>
                                </a:gs>
                                <a:gs pos="100000">
                                  <a:srgbClr val="76CEEF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rect b="b" l="l" r="r" t="t"/>
                              <a:pathLst>
                                <a:path extrusionOk="0" h="828675" w="281940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683C6"/>
                                </a:gs>
                                <a:gs pos="100000">
                                  <a:srgbClr val="1C629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Akreditovaná vzdělávací instituce MVČR AK/I-53/2017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25"/>
                <w:tab w:val="left" w:leader="none" w:pos="1800"/>
                <w:tab w:val="center" w:leader="none" w:pos="5097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5025738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B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color w:val="4472c4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sz w:val="36"/>
          <w:szCs w:val="36"/>
          <w:rtl w:val="0"/>
        </w:rPr>
        <w:t xml:space="preserve">„</w:t>
      </w:r>
      <w:r w:rsidDel="00000000" w:rsidR="00000000" w:rsidRPr="00000000">
        <w:rPr>
          <w:b w:val="1"/>
          <w:bCs w:val="1"/>
          <w:color w:val="4472c4"/>
          <w:sz w:val="36"/>
          <w:szCs w:val="36"/>
          <w:rtl w:val="0"/>
        </w:rPr>
        <w:t xml:space="preserve">Využití vybraných dovedností z oblasti psychoterapie s dětmi a mladistvými jako podpůrných technik pro usnadnění sociální práce s dětmi a mladistvými.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sz w:val="36"/>
          <w:szCs w:val="36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bCs w:val="1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i w:val="0"/>
          <w:iCs w:val="0"/>
          <w:color w:val="7030a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7030a0"/>
          <w:sz w:val="24"/>
          <w:szCs w:val="24"/>
          <w:rtl w:val="0"/>
        </w:rPr>
        <w:t xml:space="preserve">Akreditace MPSV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: „</w:t>
      </w:r>
      <w:r w:rsidDel="00000000" w:rsidR="00000000" w:rsidRPr="00000000">
        <w:rPr>
          <w:color w:val="7030a0"/>
          <w:sz w:val="24"/>
          <w:szCs w:val="24"/>
          <w:rtl w:val="0"/>
        </w:rPr>
        <w:t xml:space="preserve">Využití vybraných dovedností z oblasti psychoterapie s dětmi a mladistvými jako podpůrných technik pro usnadnění sociální práce s dětmi a mladistvými.“ </w:t>
      </w:r>
      <w:r w:rsidDel="00000000" w:rsidR="00000000" w:rsidRPr="00000000">
        <w:rPr>
          <w:b w:val="1"/>
          <w:bCs w:val="1"/>
          <w:color w:val="7030a0"/>
          <w:sz w:val="24"/>
          <w:szCs w:val="24"/>
          <w:rtl w:val="0"/>
        </w:rPr>
        <w:t xml:space="preserve">A2025/1240-SP/PC</w:t>
      </w:r>
      <w:r w:rsidDel="00000000" w:rsidR="00000000" w:rsidRPr="00000000">
        <w:rPr>
          <w:color w:val="7030a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7030a0"/>
          <w:sz w:val="24"/>
          <w:szCs w:val="24"/>
          <w:rtl w:val="0"/>
        </w:rPr>
        <w:t xml:space="preserve">(8. hodin) kombinovaná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4472c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24"/>
          <w:szCs w:val="24"/>
          <w:rtl w:val="0"/>
        </w:rPr>
        <w:t xml:space="preserve">akreditace MVČR</w:t>
      </w:r>
      <w:r w:rsidDel="00000000" w:rsidR="00000000" w:rsidRPr="00000000">
        <w:rPr>
          <w:rFonts w:ascii="Arial" w:cs="Arial" w:eastAsia="Arial" w:hAnsi="Arial"/>
          <w:color w:val="4472c4"/>
          <w:sz w:val="24"/>
          <w:szCs w:val="24"/>
          <w:rtl w:val="0"/>
        </w:rPr>
        <w:t xml:space="preserve">: „</w:t>
      </w:r>
      <w:r w:rsidDel="00000000" w:rsidR="00000000" w:rsidRPr="00000000">
        <w:rPr>
          <w:color w:val="4472c4"/>
          <w:sz w:val="24"/>
          <w:szCs w:val="24"/>
          <w:rtl w:val="0"/>
        </w:rPr>
        <w:t xml:space="preserve">Využití vybraných dovedností z oblasti psychoterapie s dětmi a mladistvými jako podpůrných technik pro usnadnění sociální práce s dětmi a mladistvými.</w:t>
      </w:r>
      <w:r w:rsidDel="00000000" w:rsidR="00000000" w:rsidRPr="00000000">
        <w:rPr>
          <w:b w:val="1"/>
          <w:bCs w:val="1"/>
          <w:color w:val="4472c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24"/>
          <w:szCs w:val="24"/>
          <w:rtl w:val="0"/>
        </w:rPr>
        <w:t xml:space="preserve">(prezenční)</w:t>
      </w:r>
      <w:r w:rsidDel="00000000" w:rsidR="00000000" w:rsidRPr="00000000">
        <w:rPr>
          <w:rFonts w:ascii="Arial" w:cs="Arial" w:eastAsia="Arial" w:hAnsi="Arial"/>
          <w:color w:val="4472c4"/>
          <w:sz w:val="24"/>
          <w:szCs w:val="24"/>
          <w:rtl w:val="0"/>
        </w:rPr>
        <w:t xml:space="preserve">“</w:t>
      </w:r>
      <w:r w:rsidDel="00000000" w:rsidR="00000000" w:rsidRPr="00000000">
        <w:rPr>
          <w:color w:val="4472c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72c4"/>
          <w:sz w:val="24"/>
          <w:szCs w:val="24"/>
          <w:rtl w:val="0"/>
        </w:rPr>
        <w:t xml:space="preserve">(program vypracovaný dle zákona č. 312/2002 Sb., o úřednících ÚSC v aktuálním znění. (8 hodin)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sz w:val="24"/>
          <w:szCs w:val="24"/>
          <w:rtl w:val="0"/>
        </w:rPr>
        <w:t xml:space="preserve">Akreditace vzdělávací instituce AK/I-53/2017</w:t>
      </w:r>
      <w:r w:rsidDel="00000000" w:rsidR="00000000" w:rsidRPr="00000000">
        <w:rPr>
          <w:rtl w:val="0"/>
        </w:rPr>
      </w:r>
    </w:p>
    <w:tbl>
      <w:tblPr>
        <w:tblStyle w:val="Table2"/>
        <w:tblW w:w="10708.0" w:type="dxa"/>
        <w:jc w:val="left"/>
        <w:tblInd w:w="15.0" w:type="dxa"/>
        <w:tblLayout w:type="fixed"/>
        <w:tblLook w:val="0400"/>
      </w:tblPr>
      <w:tblGrid>
        <w:gridCol w:w="3739"/>
        <w:gridCol w:w="6969"/>
        <w:tblGridChange w:id="0">
          <w:tblGrid>
            <w:gridCol w:w="3739"/>
            <w:gridCol w:w="6969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Využití vybraných dovedností z oblasti psychoterapie s dětmi a mladistvými jako podpůrných technik pro usnadnění sociální práce s dětmi a mladistvými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0000"/>
                <w:sz w:val="28"/>
                <w:szCs w:val="28"/>
                <w:rtl w:val="0"/>
              </w:rPr>
              <w:t xml:space="preserve">NOVINKA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MPSV: </w:t>
            </w:r>
            <w:r w:rsidDel="00000000" w:rsidR="00000000" w:rsidRPr="00000000">
              <w:rPr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A2025/1240-SP/PC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 (8. hodin) prezenční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99"/>
                <w:sz w:val="20"/>
                <w:szCs w:val="20"/>
                <w:rtl w:val="0"/>
              </w:rPr>
              <w:t xml:space="preserve">MVČR: </w:t>
            </w: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(program vypracovaný dle zákona č. 312/2002 Sb., o úřednících ÚSC v aktuálním znění. (8 hodin)) Akreditace vzdělávací instituce AK/I-53/2017 (prezenční)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20260100045</w:t>
            </w:r>
          </w:p>
        </w:tc>
      </w:tr>
      <w:tr>
        <w:trPr>
          <w:cantSplit w:val="0"/>
          <w:trHeight w:val="1431.88476562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Mgr. Svata Janošková a Dr. Ing. Jiří Staněk,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psychoterapie, zkušení lektoři.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Psychoterapeutická práce s dětmi, které jsou oběťmi trestných činů.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13.10. 2026 (úterý) od 9,00 hod.</w:t>
            </w:r>
            <w:r w:rsidDel="00000000" w:rsidR="00000000" w:rsidRPr="00000000">
              <w:rPr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(prezence od 8,30hod – 9,00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rtl w:val="0"/>
                </w:rPr>
                <w:br w:type="textWrapping"/>
              </w:r>
            </w:hyperlink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Střední škola prof. Zdeňka Matějíčka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7a7a7a"/>
                <w:rtl w:val="0"/>
              </w:rPr>
              <w:t xml:space="preserve">, 17. listopadu 1123/70, 708 00, Ostrava-Poruba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c00000"/>
                <w:sz w:val="24"/>
                <w:szCs w:val="24"/>
                <w:rtl w:val="0"/>
              </w:rPr>
              <w:t xml:space="preserve">2 290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bCs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Anotace</w:t>
      </w:r>
    </w:p>
    <w:p w:rsidR="00000000" w:rsidDel="00000000" w:rsidP="00000000" w:rsidRDefault="00000000" w:rsidRPr="00000000" w14:paraId="0000002A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 úvodním představení tématu přijdou na řadu dětská práva v rámci psychoterapie. V bloku vlastní psychoterapie s dětmi jsou vysvětleny způsoby práce psychoterapeuta s dítětem i zapojení rodinných příslušníků a pečovatelů. Jsou vysvětlena specifika psychoterapeutické práce a popsán vlastní psychoterapeutický proces. V další části semináře dojde na prostředky psychoterapeutické pomoci, které jsou často použitelné i v rámci sociální práce s dítětem. Dále pak jsou shrnuty vývojově psychologické souvislosti duševních poruch u dětí a způsoby psychoterapeutického zasahování. Na závěr je shrnuta probraná problematiky a proběhne diskuse.</w:t>
      </w:r>
    </w:p>
    <w:p w:rsidR="00000000" w:rsidDel="00000000" w:rsidP="00000000" w:rsidRDefault="00000000" w:rsidRPr="00000000" w14:paraId="0000002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8"/>
          <w:szCs w:val="28"/>
        </w:rPr>
      </w:pPr>
      <w:bookmarkStart w:colFirst="0" w:colLast="0" w:name="_heading=h.ooko3ffuwyod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Cílové kompetence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doplňují svoje poznatky z oblasti dětských práv v rámci psychoterapie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obnovují informace o dětské psychoterapii a jejich formách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doplňují své znalosti o výčet prostředků psychoterapeutické pomoci a jejich možné využitelnosti v rámci sociální práce.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obnovují informace týkající se vývojově psychologických souvislostí duševních poruch dětí</w:t>
      </w:r>
    </w:p>
    <w:p w:rsidR="00000000" w:rsidDel="00000000" w:rsidP="00000000" w:rsidRDefault="00000000" w:rsidRPr="00000000" w14:paraId="00000031">
      <w:pPr>
        <w:spacing w:after="0" w:before="40" w:line="240" w:lineRule="auto"/>
        <w:ind w:right="720"/>
        <w:rPr>
          <w:i w:val="1"/>
          <w:i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Součástí ceny je osvědčení o absolvování semináře, materiály k tématu v elektronické podobě a občerstvení, které sestává z nealkoholických nápojů a občerstvení v průběhu školení.</w:t>
      </w:r>
    </w:p>
    <w:p w:rsidR="00000000" w:rsidDel="00000000" w:rsidP="00000000" w:rsidRDefault="00000000" w:rsidRPr="00000000" w14:paraId="00000033">
      <w:pPr>
        <w:tabs>
          <w:tab w:val="left" w:leader="none" w:pos="3330"/>
        </w:tabs>
        <w:ind w:right="-153"/>
        <w:jc w:val="both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330"/>
        </w:tabs>
        <w:ind w:right="-153"/>
        <w:jc w:val="both"/>
        <w:rPr>
          <w:b w:val="1"/>
          <w:bCs w:val="1"/>
          <w:color w:val="00b0f0"/>
        </w:rPr>
      </w:pPr>
      <w:r w:rsidDel="00000000" w:rsidR="00000000" w:rsidRPr="00000000">
        <w:rPr>
          <w:b w:val="1"/>
          <w:bCs w:val="1"/>
          <w:color w:val="00b0f0"/>
          <w:sz w:val="20"/>
          <w:szCs w:val="20"/>
          <w:rtl w:val="0"/>
        </w:rPr>
        <w:t xml:space="preserve">Jak se přihlásit:</w:t>
      </w:r>
      <w:r w:rsidDel="00000000" w:rsidR="00000000" w:rsidRPr="00000000">
        <w:rPr>
          <w:b w:val="1"/>
          <w:bCs w:val="1"/>
          <w:color w:val="00b0f0"/>
          <w:rtl w:val="0"/>
        </w:rPr>
        <w:t xml:space="preserve">  </w:t>
        <w:tab/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Zaplaťte účastnický poplatek a vyplňte přihlašovací formulář, prostřednictvím našich webových stránek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www.topseminare.cz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lhůtě tři dny a méně před konáním akce není možné zrušit účast na semináři. Kdykoli je možné nahlásit náhradníka na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info@topseminare.cz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b w:val="1"/>
          <w:bCs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38">
      <w:pPr>
        <w:spacing w:after="360" w:before="40" w:line="240" w:lineRule="auto"/>
        <w:ind w:right="72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40" w:line="240" w:lineRule="auto"/>
        <w:ind w:right="720"/>
        <w:jc w:val="both"/>
        <w:rPr>
          <w:rFonts w:ascii="Arial" w:cs="Arial" w:eastAsia="Arial" w:hAnsi="Arial"/>
          <w:i w:val="1"/>
          <w:i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40" w:line="240" w:lineRule="auto"/>
        <w:ind w:left="720" w:right="720" w:firstLine="0"/>
        <w:jc w:val="both"/>
        <w:rPr>
          <w:rFonts w:ascii="Times New Roman" w:cs="Times New Roman" w:eastAsia="Times New Roman" w:hAnsi="Times New Roman"/>
          <w:b w:val="1"/>
          <w:bCs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360" w:before="4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7C6CBC"/>
  </w:style>
  <w:style w:type="paragraph" w:styleId="Zpat">
    <w:name w:val="footer"/>
    <w:basedOn w:val="Normln"/>
    <w:link w:val="Zpat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7C6CBC"/>
  </w:style>
  <w:style w:type="paragraph" w:styleId="Odstavecseseznamem">
    <w:name w:val="List Paragraph"/>
    <w:basedOn w:val="Normln"/>
    <w:uiPriority w:val="34"/>
    <w:qFormat w:val="1"/>
    <w:rsid w:val="007C5CB2"/>
    <w:pPr>
      <w:spacing w:after="0" w:line="240" w:lineRule="auto"/>
      <w:ind w:left="720"/>
    </w:pPr>
    <w:rPr>
      <w:rFonts w:ascii="Times New Roman" w:cs="Times New Roman" w:eastAsia="Calibri" w:hAnsi="Times New Roman"/>
      <w:kern w:val="0"/>
      <w:sz w:val="24"/>
      <w:szCs w:val="24"/>
      <w:lang w:eastAsia="cs-CZ"/>
    </w:rPr>
  </w:style>
  <w:style w:type="character" w:styleId="Siln">
    <w:name w:val="Strong"/>
    <w:uiPriority w:val="22"/>
    <w:qFormat w:val="1"/>
    <w:rsid w:val="001D5AB2"/>
    <w:rPr>
      <w:b w:val="1"/>
      <w:bCs w:val="1"/>
    </w:rPr>
  </w:style>
  <w:style w:type="character" w:styleId="Zvraznn" w:customStyle="1">
    <w:name w:val="Zvýraznění"/>
    <w:uiPriority w:val="20"/>
    <w:qFormat w:val="1"/>
    <w:rsid w:val="001D5AB2"/>
    <w:rPr>
      <w:i w:val="1"/>
      <w:iCs w:val="1"/>
    </w:rPr>
  </w:style>
  <w:style w:type="paragraph" w:styleId="-wm-msolistparagraph" w:customStyle="1">
    <w:name w:val="-wm-msolistparagraph"/>
    <w:basedOn w:val="Normln"/>
    <w:rsid w:val="005B1BF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cs-CZ"/>
    </w:rPr>
  </w:style>
  <w:style w:type="character" w:styleId="htmlcode" w:customStyle="1">
    <w:name w:val="htmlcode"/>
    <w:basedOn w:val="Standardnpsmoodstavce"/>
    <w:rsid w:val="005B1BF2"/>
  </w:style>
  <w:style w:type="paragraph" w:styleId="Default" w:customStyle="1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kern w:val="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141AA8"/>
    <w:pPr>
      <w:spacing w:after="100" w:afterAutospacing="1" w:before="100" w:beforeAutospacing="1" w:line="240" w:lineRule="auto"/>
      <w:jc w:val="both"/>
    </w:pPr>
    <w:rPr>
      <w:rFonts w:ascii="Arial Unicode MS" w:cs="Arial Unicode MS" w:eastAsia="Arial Unicode MS" w:hAnsi="Arial Unicode MS"/>
      <w:color w:val="000000"/>
      <w:kern w:val="0"/>
      <w:sz w:val="24"/>
      <w:szCs w:val="24"/>
      <w:lang w:eastAsia="cs-CZ"/>
    </w:rPr>
  </w:style>
  <w:style w:type="character" w:styleId="Hypertextovodkaz">
    <w:name w:val="Hyperlink"/>
    <w:rsid w:val="00814AD4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 w:val="1"/>
    <w:rsid w:val="00814AD4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4"/>
      <w:lang w:eastAsia="cs-CZ"/>
    </w:rPr>
  </w:style>
  <w:style w:type="character" w:styleId="Zkladntext2Char" w:customStyle="1">
    <w:name w:val="Základní text 2 Char"/>
    <w:basedOn w:val="Standardnpsmoodstavce"/>
    <w:link w:val="Zkladntext2"/>
    <w:uiPriority w:val="99"/>
    <w:semiHidden w:val="1"/>
    <w:rsid w:val="00814AD4"/>
    <w:rPr>
      <w:rFonts w:ascii="Times New Roman" w:cs="Times New Roman" w:eastAsia="Times New Roman" w:hAnsi="Times New Roman"/>
      <w:kern w:val="0"/>
      <w:sz w:val="20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topseminare.cz" TargetMode="External"/><Relationship Id="rId10" Type="http://schemas.openxmlformats.org/officeDocument/2006/relationships/hyperlink" Target="https://maps.app.goo.gl/airnnwwr3cwZ4MUA8" TargetMode="External"/><Relationship Id="rId13" Type="http://schemas.openxmlformats.org/officeDocument/2006/relationships/header" Target="header2.xml"/><Relationship Id="rId12" Type="http://schemas.openxmlformats.org/officeDocument/2006/relationships/hyperlink" Target="mailto:info@topseminare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ps.app.goo.gl/airnnwwr3cwZ4MUA8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9eE4j19KE4sB3FbK+h2SAWjPTw==">CgMxLjAyDmgub29rbzNmZnV3eW9kOAByITFVT3NEQko1aHltMEJndEJ0SnpadHVXYm9lV3ZVd2d3Wg==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2025-11-11T08:22:00Z</dcterms:created>
  <dc:creator>Josefína Staňková</dc:creator>
</cp:coreProperties>
</file>