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right="720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rtl w:val="0"/>
        </w:rPr>
        <w:t xml:space="preserve">„Sociální sítě, vliv a rizika internetu na děti a mladistvé, zásadní informace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4472c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32"/>
          <w:szCs w:val="32"/>
          <w:rtl w:val="0"/>
        </w:rPr>
        <w:t xml:space="preserve">pro sociální práci s rodinným systémem“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rFonts w:ascii="Times New Roman" w:cs="Times New Roman" w:eastAsia="Times New Roman" w:hAnsi="Times New Roman"/>
          <w:color w:val="7030a0"/>
          <w:sz w:val="24"/>
          <w:szCs w:val="24"/>
          <w:rtl w:val="0"/>
        </w:rPr>
        <w:t xml:space="preserve">Sociální sítě, vliv a rizika internetu na děti a mladistvé, zásadní informace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7030a0"/>
          <w:sz w:val="24"/>
          <w:szCs w:val="24"/>
          <w:rtl w:val="0"/>
        </w:rPr>
        <w:t xml:space="preserve">pro sociální práci s rodinným systémem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7030a0"/>
          <w:rtl w:val="0"/>
        </w:rPr>
        <w:t xml:space="preserve">A2025/0167-SP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4472c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: „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Sociální sítě, vliv a rizika internetu na děti a mladistvé, zásadní informace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color w:val="4472c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pro sociální práci s rodinným systémem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Akreditace vzdělávací instituce AK/I-53/2017</w:t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Sociální sítě, vliv a rizika internetu na děti a mladistvé, zásadní informace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pro sociální práci s rodinným systémem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ee0000"/>
                <w:sz w:val="28"/>
                <w:szCs w:val="28"/>
                <w:rtl w:val="0"/>
              </w:rPr>
              <w:t xml:space="preserve">NOVINKA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b w:val="1"/>
                <w:color w:val="7030a0"/>
                <w:sz w:val="24"/>
                <w:szCs w:val="24"/>
                <w:rtl w:val="0"/>
              </w:rPr>
              <w:t xml:space="preserve">A2025/0167-SP/PC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4"/>
                <w:szCs w:val="24"/>
                <w:rtl w:val="0"/>
              </w:rPr>
              <w:t xml:space="preserve"> (8. hodin) prezenční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202605006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Bc. Kateřina Šutorková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(adiktolog, terapeut s bohatou praxí, zkušená lektorka s  praxí v oblasti přednášené problematiky)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15.5. 2026 (pátek)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2 290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E">
      <w:pPr>
        <w:jc w:val="both"/>
        <w:rPr>
          <w:b w:val="1"/>
          <w:sz w:val="28"/>
          <w:szCs w:val="28"/>
        </w:rPr>
      </w:pPr>
      <w:bookmarkStart w:colFirst="0" w:colLast="0" w:name="_heading=h.c2ipo32atu63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Seminář se zaměřuje na ohrožené dítěte, a to zejména ve spojení se světem internetu. Po výkladu, který je zaměřen na charakteristiku současného internetového prostředí a jeho využívání dětmi se seminář věnuje zejména rizikům hrozícím dětem ve spojení s používáním internetu. Rovněž dojde na prevenci, která je rovněž náplní sociálního poradenství OSPOD. Vzhledem k značnému nebezpečí sexuálního zneužití dítěte ve spojení s internetovými riziky je další obsah semináře věnován právě sexuálnímu zneužívání dětí. V neposlední řadě pak dojde na kybergrooming, včetně hrozících nebezpečí dětským uživatelům internetu. V této části dojde opět k zaměření se na prevenci jak z pohledu dětí, tak i jejich rodičů. Na závěr proběhne rekapitulace a diskuse k probrané problematice.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kurzu si doplňují informace o charakteristikách digitálního prostředí, včetně sociálních médií, herních platforem a dalších online aktivit, a jak ovlivňují chování a psychiku dětí.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kurzu si upevňují znalosti, jak identifikovat různé typy rizik, jako jsou kyberšikana, online predátorství, dezinformace a vliv nevhodného obsahu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kurzu si obnovují rozvoj dovedností potřebných pro krizovou intervenci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70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kurzu si obnovují informace, jak podpořit spolupráci mezi sociálními pracovníky, školami, neziskovými organizacemi a dalšími subjekty v oblasti ochrany dětí v digitálním prostředí.</w:t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7">
      <w:pPr>
        <w:tabs>
          <w:tab w:val="left" w:leader="none" w:pos="3330"/>
        </w:tabs>
        <w:ind w:right="-153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330"/>
        </w:tabs>
        <w:ind w:right="-153"/>
        <w:jc w:val="both"/>
        <w:rPr>
          <w:b w:val="1"/>
          <w:color w:val="00b0f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C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1065" w:hanging="70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4343CB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4343CB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4343CB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opseminare.cz" TargetMode="External"/><Relationship Id="rId10" Type="http://schemas.openxmlformats.org/officeDocument/2006/relationships/hyperlink" Target="https://maps.app.goo.gl/airnnwwr3cwZ4MUA8" TargetMode="External"/><Relationship Id="rId13" Type="http://schemas.openxmlformats.org/officeDocument/2006/relationships/header" Target="header2.xml"/><Relationship Id="rId12" Type="http://schemas.openxmlformats.org/officeDocument/2006/relationships/hyperlink" Target="mailto:info@topseminare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bjcmohGuXFiT2lxXqqmxVZ4fQ==">CgMxLjAyDmguYzJpcG8zMmF0dTYzOAByITFJdFFIWEZrWlp2R2xOZGlJNkVmUk9udGlsdlpqaloteg==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2025-10-31T10:12:00Z</dcterms:created>
  <dc:creator>Josefína Staňková</dc:creator>
</cp:coreProperties>
</file>