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-457197</wp:posOffset>
                </wp:positionH>
                <wp:positionV relativeFrom="paragraph">
                  <wp:posOffset>-457831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400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95" cy="2141220"/>
                            <a:chOff x="1222300" y="2709375"/>
                            <a:chExt cx="8247390" cy="214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22300" y="2709375"/>
                              <a:ext cx="8247375" cy="214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22310" y="2709390"/>
                              <a:ext cx="8247380" cy="2141220"/>
                              <a:chOff x="-7144" y="-7144"/>
                              <a:chExt cx="6005513" cy="19240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-7144" y="-7144"/>
                                <a:ext cx="6005500" cy="1924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2121694" y="-7144"/>
                                <a:ext cx="3876675" cy="1762125"/>
                              </a:xfrm>
                              <a:custGeom>
                                <a:rect b="b" l="l" r="r" t="t"/>
                                <a:pathLst>
                                  <a:path extrusionOk="0" h="1762125" w="3876675">
                                    <a:moveTo>
                                      <a:pt x="3869531" y="1359694"/>
                                    </a:moveTo>
                                    <a:cubicBezTo>
                                      <a:pt x="3869531" y="1359694"/>
                                      <a:pt x="3379946" y="1834039"/>
                                      <a:pt x="2359819" y="1744504"/>
                                    </a:cubicBezTo>
                                    <a:cubicBezTo>
                                      <a:pt x="1339691" y="1654969"/>
                                      <a:pt x="936784" y="1180624"/>
                                      <a:pt x="7144" y="1287304"/>
                                    </a:cubicBezTo>
                                    <a:lnTo>
                                      <a:pt x="7144" y="7144"/>
                                    </a:lnTo>
                                    <a:lnTo>
                                      <a:pt x="3869531" y="7144"/>
                                    </a:lnTo>
                                    <a:lnTo>
                                      <a:pt x="3869531" y="13596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83C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-7144" y="-7144"/>
                                <a:ext cx="6000750" cy="1924050"/>
                              </a:xfrm>
                              <a:custGeom>
                                <a:rect b="b" l="l" r="r" t="t"/>
                                <a:pathLst>
                                  <a:path extrusionOk="0" h="1924050" w="6000750">
                                    <a:moveTo>
                                      <a:pt x="7144" y="1699736"/>
                                    </a:moveTo>
                                    <a:cubicBezTo>
                                      <a:pt x="7144" y="1699736"/>
                                      <a:pt x="1410176" y="2317909"/>
                                      <a:pt x="2934176" y="1484471"/>
                                    </a:cubicBezTo>
                                    <a:cubicBezTo>
                                      <a:pt x="4459129" y="651986"/>
                                      <a:pt x="5998369" y="893921"/>
                                      <a:pt x="5998369" y="893921"/>
                                    </a:cubicBezTo>
                                    <a:lnTo>
                                      <a:pt x="5998369" y="7144"/>
                                    </a:lnTo>
                                    <a:lnTo>
                                      <a:pt x="7144" y="7144"/>
                                    </a:lnTo>
                                    <a:lnTo>
                                      <a:pt x="7144" y="16997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CADE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-7144" y="-7144"/>
                                <a:ext cx="6000750" cy="904875"/>
                              </a:xfrm>
                              <a:custGeom>
                                <a:rect b="b" l="l" r="r" t="t"/>
                                <a:pathLst>
                                  <a:path extrusionOk="0" h="904875" w="6000750">
                                    <a:moveTo>
                                      <a:pt x="7144" y="7144"/>
                                    </a:moveTo>
                                    <a:lnTo>
                                      <a:pt x="7144" y="613886"/>
                                    </a:lnTo>
                                    <a:cubicBezTo>
                                      <a:pt x="647224" y="1034891"/>
                                      <a:pt x="2136934" y="964406"/>
                                      <a:pt x="3546634" y="574834"/>
                                    </a:cubicBezTo>
                                    <a:cubicBezTo>
                                      <a:pt x="4882039" y="205264"/>
                                      <a:pt x="5998369" y="893921"/>
                                      <a:pt x="5998369" y="893921"/>
                                    </a:cubicBezTo>
                                    <a:lnTo>
                                      <a:pt x="5998369" y="7144"/>
                                    </a:lnTo>
                                    <a:lnTo>
                                      <a:pt x="7144" y="7144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1CADE4"/>
                                  </a:gs>
                                  <a:gs pos="100000">
                                    <a:srgbClr val="76CEEF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3176111" y="924401"/>
                                <a:ext cx="2819400" cy="828675"/>
                              </a:xfrm>
                              <a:custGeom>
                                <a:rect b="b" l="l" r="r" t="t"/>
                                <a:pathLst>
                                  <a:path extrusionOk="0" h="828675" w="2819400">
                                    <a:moveTo>
                                      <a:pt x="7144" y="481489"/>
                                    </a:moveTo>
                                    <a:cubicBezTo>
                                      <a:pt x="380524" y="602456"/>
                                      <a:pt x="751999" y="764381"/>
                                      <a:pt x="1305401" y="812959"/>
                                    </a:cubicBezTo>
                                    <a:cubicBezTo>
                                      <a:pt x="2325529" y="902494"/>
                                      <a:pt x="2815114" y="428149"/>
                                      <a:pt x="2815114" y="428149"/>
                                    </a:cubicBezTo>
                                    <a:lnTo>
                                      <a:pt x="2815114" y="7144"/>
                                    </a:lnTo>
                                    <a:cubicBezTo>
                                      <a:pt x="2332196" y="236696"/>
                                      <a:pt x="1376839" y="568166"/>
                                      <a:pt x="7144" y="481489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2683C6"/>
                                  </a:gs>
                                  <a:gs pos="100000">
                                    <a:srgbClr val="1C6294"/>
                                  </a:gs>
                                </a:gsLst>
                                <a:lin ang="0" scaled="0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-457197</wp:posOffset>
                </wp:positionH>
                <wp:positionV relativeFrom="paragraph">
                  <wp:posOffset>-457831</wp:posOffset>
                </wp:positionV>
                <wp:extent cx="8247380" cy="21412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bCs w:val="1"/>
          <w:color w:val="4472c4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6"/>
          <w:szCs w:val="36"/>
          <w:rtl w:val="0"/>
        </w:rPr>
        <w:t xml:space="preserve">„Význam bondingu a vztahové vazby v rámci sociální práce s rodinným systémem“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bCs w:val="1"/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rFonts w:ascii="Times New Roman" w:cs="Times New Roman" w:eastAsia="Times New Roman" w:hAnsi="Times New Roman"/>
          <w:color w:val="7030a0"/>
          <w:sz w:val="24"/>
          <w:szCs w:val="24"/>
          <w:rtl w:val="0"/>
        </w:rPr>
        <w:t xml:space="preserve">Význam bondingu a vztahové vazby v rámci sociální práce s rodinným systémem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 A2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rtl w:val="0"/>
        </w:rPr>
        <w:t xml:space="preserve"> A2025/0933-SP/PC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: „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Význam bondingu a vztahové vazby v rámci sociální práce s rodinným systémem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Význam bondingu a vztahové vazby v rámci sociální práce s rodinným systémem</w:t>
            </w: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ee0000"/>
                <w:sz w:val="32"/>
                <w:szCs w:val="32"/>
                <w:rtl w:val="0"/>
              </w:rPr>
              <w:t xml:space="preserve">NOVINKA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A2025/0933-SP/PC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 (8. hodin) prezenční 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202604006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Mgr. Svata Janošková–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psycholog s mnohaletou praxí v oboru. Zkušená lektorka, psychoterapeutická práce s dětmi, které se staly oběťmi trestných činů.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11.06. 2026 (čtvrtek)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 úvodu semináře dojde na představení základních pojmů, bondingu a vztahové vazby, včetně historických souvislostí. Podrobnosti ke vztahové vazbě a čtyři základní typy jsou náplní dalšího bloku školení. Dále se seminář zaměří na faktory ovlivňující bonding a vztahovou vazbu. V nosné části školení pak přijde řada na bonding a vztahovou vazbu v rámci sociální práce s rodinným systémem. Obsahem jsou hlavní přístupy sociální práce a výzvy a překážky v sociální práci. Poslední blok semináře se věnuje praktickým dovednostem pro podporu zdravé vztahové vazby, což je pro sociální práci s rodinným systémem velmi potřebné. Na závěr proběhne stručná rekapitulace a diskuse.</w:t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bookmarkStart w:colFirst="0" w:colLast="0" w:name="_k0fhwwkldvgk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doplní svoje znalosti o bondingu a vztahové vazbě.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obnoví informace o typech vztahové vazby a jejich vlivu na vývoj dítěte.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upevní své vědomosti o podrobnosti k faktorům ovlivňujícím bonding a vztahovou vazbu.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doplní svoje praktické dovednosti na podporu zdravé vztahové vazby v rámci sociální práce s rodinným systémem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2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7">
      <w:pPr>
        <w:spacing w:after="360" w:before="40" w:line="240" w:lineRule="auto"/>
        <w:ind w:right="72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720"/>
        <w:rPr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topseminare.cz" TargetMode="External"/><Relationship Id="rId10" Type="http://schemas.openxmlformats.org/officeDocument/2006/relationships/hyperlink" Target="http://www.topseminare.cz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maps.app.goo.gl/airnnwwr3cwZ4MUA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