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-457196</wp:posOffset>
                </wp:positionH>
                <wp:positionV relativeFrom="paragraph">
                  <wp:posOffset>-457829</wp:posOffset>
                </wp:positionV>
                <wp:extent cx="8247380" cy="214122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400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5" cy="2141220"/>
                            <a:chOff x="1222300" y="2709375"/>
                            <a:chExt cx="8247405" cy="21412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222300" y="2709375"/>
                              <a:ext cx="8247400" cy="214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1222310" y="2709390"/>
                              <a:ext cx="8247395" cy="2141220"/>
                              <a:chOff x="1222300" y="2709375"/>
                              <a:chExt cx="8247390" cy="21412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222300" y="2709375"/>
                                <a:ext cx="8247375" cy="214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1222310" y="2709390"/>
                                <a:ext cx="8247380" cy="2141220"/>
                                <a:chOff x="-7144" y="-7144"/>
                                <a:chExt cx="6005513" cy="19240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-7144" y="-7144"/>
                                  <a:ext cx="6005500" cy="1924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2121694" y="-7144"/>
                                  <a:ext cx="3876675" cy="1762125"/>
                                </a:xfrm>
                                <a:custGeom>
                                  <a:rect b="b" l="l" r="r" t="t"/>
                                  <a:pathLst>
                                    <a:path extrusionOk="0" h="1762125" w="3876675">
                                      <a:moveTo>
                                        <a:pt x="3869531" y="1359694"/>
                                      </a:moveTo>
                                      <a:cubicBezTo>
                                        <a:pt x="3869531" y="1359694"/>
                                        <a:pt x="3379946" y="1834039"/>
                                        <a:pt x="2359819" y="1744504"/>
                                      </a:cubicBezTo>
                                      <a:cubicBezTo>
                                        <a:pt x="1339691" y="1654969"/>
                                        <a:pt x="936784" y="1180624"/>
                                        <a:pt x="7144" y="1287304"/>
                                      </a:cubicBezTo>
                                      <a:lnTo>
                                        <a:pt x="7144" y="7144"/>
                                      </a:lnTo>
                                      <a:lnTo>
                                        <a:pt x="3869531" y="7144"/>
                                      </a:lnTo>
                                      <a:lnTo>
                                        <a:pt x="3869531" y="1359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683C6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9" name="Shape 9"/>
                              <wps:spPr>
                                <a:xfrm>
                                  <a:off x="-7144" y="-7144"/>
                                  <a:ext cx="6000750" cy="1924050"/>
                                </a:xfrm>
                                <a:custGeom>
                                  <a:rect b="b" l="l" r="r" t="t"/>
                                  <a:pathLst>
                                    <a:path extrusionOk="0" h="1924050" w="6000750">
                                      <a:moveTo>
                                        <a:pt x="7144" y="1699736"/>
                                      </a:moveTo>
                                      <a:cubicBezTo>
                                        <a:pt x="7144" y="1699736"/>
                                        <a:pt x="1410176" y="2317909"/>
                                        <a:pt x="2934176" y="1484471"/>
                                      </a:cubicBezTo>
                                      <a:cubicBezTo>
                                        <a:pt x="4459129" y="651986"/>
                                        <a:pt x="5998369" y="893921"/>
                                        <a:pt x="5998369" y="893921"/>
                                      </a:cubicBezTo>
                                      <a:lnTo>
                                        <a:pt x="5998369" y="7144"/>
                                      </a:lnTo>
                                      <a:lnTo>
                                        <a:pt x="7144" y="7144"/>
                                      </a:lnTo>
                                      <a:lnTo>
                                        <a:pt x="7144" y="169973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CADE4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0" name="Shape 10"/>
                              <wps:spPr>
                                <a:xfrm>
                                  <a:off x="-7144" y="-7144"/>
                                  <a:ext cx="6000750" cy="904875"/>
                                </a:xfrm>
                                <a:custGeom>
                                  <a:rect b="b" l="l" r="r" t="t"/>
                                  <a:pathLst>
                                    <a:path extrusionOk="0" h="904875" w="6000750">
                                      <a:moveTo>
                                        <a:pt x="7144" y="7144"/>
                                      </a:moveTo>
                                      <a:lnTo>
                                        <a:pt x="7144" y="613886"/>
                                      </a:lnTo>
                                      <a:cubicBezTo>
                                        <a:pt x="647224" y="1034891"/>
                                        <a:pt x="2136934" y="964406"/>
                                        <a:pt x="3546634" y="574834"/>
                                      </a:cubicBezTo>
                                      <a:cubicBezTo>
                                        <a:pt x="4882039" y="205264"/>
                                        <a:pt x="5998369" y="893921"/>
                                        <a:pt x="5998369" y="893921"/>
                                      </a:cubicBezTo>
                                      <a:lnTo>
                                        <a:pt x="5998369" y="7144"/>
                                      </a:lnTo>
                                      <a:lnTo>
                                        <a:pt x="7144" y="7144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1CADE4"/>
                                    </a:gs>
                                    <a:gs pos="100000">
                                      <a:srgbClr val="76CEEF"/>
                                    </a:gs>
                                  </a:gsLst>
                                  <a:lin ang="0" scaled="0"/>
                                </a:gra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1" name="Shape 11"/>
                              <wps:spPr>
                                <a:xfrm>
                                  <a:off x="3176111" y="924401"/>
                                  <a:ext cx="2819400" cy="828675"/>
                                </a:xfrm>
                                <a:custGeom>
                                  <a:rect b="b" l="l" r="r" t="t"/>
                                  <a:pathLst>
                                    <a:path extrusionOk="0" h="828675" w="2819400">
                                      <a:moveTo>
                                        <a:pt x="7144" y="481489"/>
                                      </a:moveTo>
                                      <a:cubicBezTo>
                                        <a:pt x="380524" y="602456"/>
                                        <a:pt x="751999" y="764381"/>
                                        <a:pt x="1305401" y="812959"/>
                                      </a:cubicBezTo>
                                      <a:cubicBezTo>
                                        <a:pt x="2325529" y="902494"/>
                                        <a:pt x="2815114" y="428149"/>
                                        <a:pt x="2815114" y="428149"/>
                                      </a:cubicBezTo>
                                      <a:lnTo>
                                        <a:pt x="2815114" y="7144"/>
                                      </a:lnTo>
                                      <a:cubicBezTo>
                                        <a:pt x="2332196" y="236696"/>
                                        <a:pt x="1376839" y="568166"/>
                                        <a:pt x="7144" y="48148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2683C6"/>
                                    </a:gs>
                                    <a:gs pos="100000">
                                      <a:srgbClr val="1C6294"/>
                                    </a:gs>
                                  </a:gsLst>
                                  <a:lin ang="0" scaled="0"/>
                                </a:gra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-457196</wp:posOffset>
                </wp:positionH>
                <wp:positionV relativeFrom="paragraph">
                  <wp:posOffset>-457829</wp:posOffset>
                </wp:positionV>
                <wp:extent cx="8247380" cy="214122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bCs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  <w:bCs w:val="1"/>
          <w:color w:val="4472c4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sz w:val="40"/>
          <w:szCs w:val="40"/>
          <w:rtl w:val="0"/>
        </w:rPr>
        <w:t xml:space="preserve">„Sociální ochrana – základní možnosti a dilemata sociálního pracovníka obce“</w:t>
      </w:r>
    </w:p>
    <w:p w:rsidR="00000000" w:rsidDel="00000000" w:rsidP="00000000" w:rsidRDefault="00000000" w:rsidRPr="00000000" w14:paraId="00000013">
      <w:pPr>
        <w:spacing w:after="360" w:before="40" w:line="240" w:lineRule="auto"/>
        <w:ind w:right="720"/>
        <w:jc w:val="center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  <w:i w:val="0"/>
          <w:iCs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„Sociální ochrana – základní možnosti a dilemata sociálního pracovníka obce“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4"/>
          <w:szCs w:val="24"/>
          <w:rtl w:val="0"/>
        </w:rPr>
        <w:t xml:space="preserve"> A2025/0937-SP/PC</w:t>
      </w:r>
      <w:r w:rsidDel="00000000" w:rsidR="00000000" w:rsidRPr="00000000">
        <w:rPr>
          <w:rFonts w:ascii="Arial" w:cs="Arial" w:eastAsia="Arial" w:hAnsi="Arial"/>
          <w:i w:val="1"/>
          <w:iCs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color w:val="4472c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rtl w:val="0"/>
        </w:rPr>
        <w:t xml:space="preserve">akreditace MVČR: Sociální ochrana – základní možnosti a dilemata sociálního pracovníka obce</w:t>
      </w:r>
      <w:r w:rsidDel="00000000" w:rsidR="00000000" w:rsidRPr="00000000">
        <w:rPr>
          <w:b w:val="1"/>
          <w:bCs w:val="1"/>
          <w:color w:val="4472c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rtl w:val="0"/>
        </w:rPr>
        <w:t xml:space="preserve">(videokurz)</w:t>
      </w:r>
      <w:r w:rsidDel="00000000" w:rsidR="00000000" w:rsidRPr="00000000">
        <w:rPr>
          <w:rFonts w:ascii="Arial" w:cs="Arial" w:eastAsia="Arial" w:hAnsi="Arial"/>
          <w:color w:val="4472c4"/>
          <w:rtl w:val="0"/>
        </w:rPr>
        <w:t xml:space="preserve">“ (program vypracovaný dle zákona č. 312/2002 Sb., o úřednících ÚSC v aktuálním znění. (8 hodin) </w:t>
      </w:r>
      <w:r w:rsidDel="00000000" w:rsidR="00000000" w:rsidRPr="00000000">
        <w:rPr>
          <w:rFonts w:ascii="Arial" w:cs="Arial" w:eastAsia="Arial" w:hAnsi="Arial"/>
          <w:b w:val="1"/>
          <w:bCs w:val="1"/>
          <w:color w:val="4472c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08.0" w:type="dxa"/>
        <w:jc w:val="left"/>
        <w:tblInd w:w="15.0" w:type="dxa"/>
        <w:tblLayout w:type="fixed"/>
        <w:tblLook w:val="0400"/>
      </w:tblPr>
      <w:tblGrid>
        <w:gridCol w:w="3513"/>
        <w:gridCol w:w="7195"/>
        <w:tblGridChange w:id="0">
          <w:tblGrid>
            <w:gridCol w:w="3513"/>
            <w:gridCol w:w="7195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Sociální ochrana – základní možnosti a dilemata sociálního pracovníka obce </w:t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b w:val="1"/>
                <w:bCs w:val="1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7030a0"/>
                <w:sz w:val="24"/>
                <w:szCs w:val="24"/>
                <w:rtl w:val="0"/>
              </w:rPr>
              <w:t xml:space="preserve">MPSV: A2025/0937-SP/PC (8. hodin) prezenční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7030a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4472c4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(prezenční)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20260110026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Mgr. Zdeněk Živčák, MPA 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linkedin.com/in/zdenek-zivcak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(Odborný lektor s bohatou praxí v dané oblasti, vedoucí odboru sociálních věcí a zdravotnictví Statutárního města Ostrava)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16.10. 2026 (pátek) od 9,00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8,30hod – 9,00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rtl w:val="0"/>
                </w:rPr>
                <w:br w:type="textWrapping"/>
              </w:r>
            </w:hyperlink>
            <w:hyperlink r:id="rId9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Střední škola prof. Zdeňka Matějíčka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7a7a7a"/>
                <w:rtl w:val="0"/>
              </w:rPr>
              <w:t xml:space="preserve">, 17. listopadu 1123/70, 708 00, Ostrava-Poruba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bCs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8"/>
          <w:szCs w:val="28"/>
        </w:rPr>
      </w:pPr>
      <w:bookmarkStart w:colFirst="0" w:colLast="0" w:name="_g1z5cc17ngej" w:id="0"/>
      <w:bookmarkEnd w:id="0"/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Posluchači se v úvodu seznámí se strukturou tohoto semináře. V dalším průběhu dojde na legislativu nezbytnou pro činnost sociálního pracovníka obce. Tato část se dotkne i cílových skupin. Veřejnému opatrovnictví je pak věnována následující část školení. Nezbytné požadavky na vzdělání včetně odborné způsobilosti tvoří další ucelený blok. Spolupráci s odborníky při sociální práci s vybranými skupinami (senioři, osoby bez přístřeší, osoby s dluhy) je věnována další část semináře. V závěru pak dojde na diskusi k probrané problematice</w:t>
      </w:r>
    </w:p>
    <w:p w:rsidR="00000000" w:rsidDel="00000000" w:rsidP="00000000" w:rsidRDefault="00000000" w:rsidRPr="00000000" w14:paraId="0000002C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obnovují informace legislativního zázemí a znají kompetence své sociální práce.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svoje vědomosti o zásady práce veřejného opatrovníka.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jsou si vědomi potřeb odbornosti a vzdělávání v rámci své profese.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Absolventi doplňují informace, koho v rámci sociální sítě oslovit při sociální práci s cílovými skupinami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b0f0"/>
          <w:sz w:val="20"/>
          <w:szCs w:val="20"/>
          <w:u w:val="none"/>
          <w:shd w:fill="auto" w:val="clear"/>
          <w:vertAlign w:val="baseline"/>
          <w:rtl w:val="0"/>
        </w:rPr>
        <w:t xml:space="preserve">Součástí ceny je osvědčení o absolvování semináře, materiály k tématu v elektronické podobě a občerstvení, které sestává z nealkoholických nápojů a občerstvení v průběhu školení.</w:t>
      </w:r>
    </w:p>
    <w:p w:rsidR="00000000" w:rsidDel="00000000" w:rsidP="00000000" w:rsidRDefault="00000000" w:rsidRPr="00000000" w14:paraId="00000034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330"/>
        </w:tabs>
        <w:ind w:right="-153"/>
        <w:jc w:val="both"/>
        <w:rPr>
          <w:b w:val="1"/>
          <w:bCs w:val="1"/>
          <w:color w:val="00b0f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Jak se přihlásit:</w:t>
      </w:r>
      <w:r w:rsidDel="00000000" w:rsidR="00000000" w:rsidRPr="00000000">
        <w:rPr>
          <w:b w:val="1"/>
          <w:bCs w:val="1"/>
          <w:color w:val="00b0f0"/>
          <w:rtl w:val="0"/>
        </w:rPr>
        <w:t xml:space="preserve">  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53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Zaplaťte účastnický poplatek a vyplňte přihlašovací formulář, prostřednictvím našich webových stránek 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www.topseminare.cz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lhůtě tři dny a méně před konáním akce není možné zrušit účast na semináři. Kdykoli je možné nahlásit náhradníka na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info@topseminare.cz</w:t>
        </w:r>
      </w:hyperlink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7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b w:val="1"/>
          <w:bCs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9">
      <w:pPr>
        <w:ind w:right="-153"/>
        <w:rPr>
          <w:b w:val="1"/>
          <w:bCs w:val="1"/>
          <w:color w:val="00b0f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right="720"/>
        <w:rPr>
          <w:i w:val="1"/>
          <w:iCs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headerReference r:id="rId14" w:type="even"/>
      <w:footerReference r:id="rId15" w:type="default"/>
      <w:footerReference r:id="rId16" w:type="first"/>
      <w:footerReference r:id="rId17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info@topseminare.cz" TargetMode="External"/><Relationship Id="rId10" Type="http://schemas.openxmlformats.org/officeDocument/2006/relationships/hyperlink" Target="http://www.topseminare.cz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aps.app.goo.gl/airnnwwr3cwZ4MUA8" TargetMode="External"/><Relationship Id="rId15" Type="http://schemas.openxmlformats.org/officeDocument/2006/relationships/footer" Target="foot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hyperlink" Target="https://maps.app.goo.gl/airnnwwr3cwZ4MUA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