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120" w:line="240" w:lineRule="auto"/>
        <w:ind w:left="720" w:right="720" w:firstLine="0"/>
        <w:rPr>
          <w:rFonts w:ascii="Twentieth Century" w:cs="Twentieth Century" w:eastAsia="Twentieth Century" w:hAnsi="Twentieth Century"/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-457833</wp:posOffset>
                </wp:positionV>
                <wp:extent cx="8247380" cy="214122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222300" y="2709375"/>
                          <a:ext cx="8247380" cy="2141220"/>
                          <a:chOff x="1222300" y="2709375"/>
                          <a:chExt cx="8247375" cy="2141250"/>
                        </a:xfrm>
                      </wpg:grpSpPr>
                      <wpg:grpSp>
                        <wpg:cNvGrpSpPr/>
                        <wpg:grpSpPr>
                          <a:xfrm>
                            <a:off x="1222310" y="2709390"/>
                            <a:ext cx="8247380" cy="2141220"/>
                            <a:chOff x="-7144" y="-7144"/>
                            <a:chExt cx="6005513" cy="1924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-7144" y="-7144"/>
                              <a:ext cx="6005500" cy="1924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rect b="b" l="l" r="r" t="t"/>
                              <a:pathLst>
                                <a:path extrusionOk="0" h="1762125" w="387667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83C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-7144" y="-7144"/>
                              <a:ext cx="6000750" cy="1924050"/>
                            </a:xfrm>
                            <a:custGeom>
                              <a:rect b="b" l="l" r="r" t="t"/>
                              <a:pathLst>
                                <a:path extrusionOk="0" h="1924050" w="60007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ADE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-7144" y="-7144"/>
                              <a:ext cx="6000750" cy="904875"/>
                            </a:xfrm>
                            <a:custGeom>
                              <a:rect b="b" l="l" r="r" t="t"/>
                              <a:pathLst>
                                <a:path extrusionOk="0" h="904875" w="6000750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1CADE4"/>
                                </a:gs>
                                <a:gs pos="100000">
                                  <a:srgbClr val="76CEEF"/>
                                </a:gs>
                              </a:gsLst>
                              <a:lin ang="0" scaled="0"/>
                            </a:gra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3176111" y="924401"/>
                              <a:ext cx="2819400" cy="828675"/>
                            </a:xfrm>
                            <a:custGeom>
                              <a:rect b="b" l="l" r="r" t="t"/>
                              <a:pathLst>
                                <a:path extrusionOk="0" h="828675" w="2819400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2683C6"/>
                                </a:gs>
                                <a:gs pos="100000">
                                  <a:srgbClr val="1C6294"/>
                                </a:gs>
                              </a:gsLst>
                              <a:lin ang="0" scaled="0"/>
                            </a:gra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-457833</wp:posOffset>
                </wp:positionV>
                <wp:extent cx="8247380" cy="214122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7380" cy="21412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0790.0" w:type="dxa"/>
        <w:jc w:val="center"/>
        <w:tblLayout w:type="fixed"/>
        <w:tblLook w:val="0600"/>
      </w:tblPr>
      <w:tblGrid>
        <w:gridCol w:w="10790"/>
        <w:tblGridChange w:id="0">
          <w:tblGrid>
            <w:gridCol w:w="10790"/>
          </w:tblGrid>
        </w:tblGridChange>
      </w:tblGrid>
      <w:tr>
        <w:trPr>
          <w:cantSplit w:val="0"/>
          <w:trHeight w:val="86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0" w:line="240" w:lineRule="auto"/>
              <w:ind w:right="720"/>
              <w:rPr>
                <w:rFonts w:ascii="Twentieth Century" w:cs="Twentieth Century" w:eastAsia="Twentieth Century" w:hAnsi="Twentieth Century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4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tabs>
                <w:tab w:val="left" w:leader="none" w:pos="1800"/>
              </w:tabs>
              <w:spacing w:after="0" w:before="40" w:line="240" w:lineRule="auto"/>
              <w:ind w:right="720"/>
              <w:rPr>
                <w:rFonts w:ascii="Twentieth Century" w:cs="Twentieth Century" w:eastAsia="Twentieth Century" w:hAnsi="Twentieth Century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4">
            <w:pPr>
              <w:tabs>
                <w:tab w:val="left" w:leader="none" w:pos="1800"/>
              </w:tabs>
              <w:spacing w:after="0" w:before="40" w:line="240" w:lineRule="auto"/>
              <w:ind w:right="720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  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TOP Semináře s.r.o.,</w:t>
            </w:r>
          </w:p>
          <w:p w:rsidR="00000000" w:rsidDel="00000000" w:rsidP="00000000" w:rsidRDefault="00000000" w:rsidRPr="00000000" w14:paraId="00000005">
            <w:pPr>
              <w:tabs>
                <w:tab w:val="left" w:leader="none" w:pos="1800"/>
              </w:tabs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Vzdělávací agentura</w:t>
            </w:r>
          </w:p>
          <w:p w:rsidR="00000000" w:rsidDel="00000000" w:rsidP="00000000" w:rsidRDefault="00000000" w:rsidRPr="00000000" w14:paraId="00000006">
            <w:pPr>
              <w:tabs>
                <w:tab w:val="left" w:leader="none" w:pos="1800"/>
              </w:tabs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Akreditace programů MPSV </w:t>
            </w:r>
          </w:p>
          <w:p w:rsidR="00000000" w:rsidDel="00000000" w:rsidP="00000000" w:rsidRDefault="00000000" w:rsidRPr="00000000" w14:paraId="00000007">
            <w:pPr>
              <w:tabs>
                <w:tab w:val="left" w:leader="none" w:pos="1800"/>
              </w:tabs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Akreditovaná vzdělávací instituce MVČR AK/I-53/2017</w:t>
            </w:r>
          </w:p>
          <w:p w:rsidR="00000000" w:rsidDel="00000000" w:rsidP="00000000" w:rsidRDefault="00000000" w:rsidRPr="00000000" w14:paraId="00000008">
            <w:pPr>
              <w:tabs>
                <w:tab w:val="left" w:leader="none" w:pos="1125"/>
                <w:tab w:val="left" w:leader="none" w:pos="1800"/>
                <w:tab w:val="center" w:leader="none" w:pos="5097"/>
              </w:tabs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Zátiší 476/12, Ostrava – Svinov, 721 00</w:t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b="0" l="0" r="0" t="0"/>
                  <wp:wrapNone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10744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9">
            <w:pPr>
              <w:tabs>
                <w:tab w:val="left" w:leader="none" w:pos="1800"/>
              </w:tabs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IČ: 06546897 </w:t>
            </w:r>
          </w:p>
          <w:p w:rsidR="00000000" w:rsidDel="00000000" w:rsidP="00000000" w:rsidRDefault="00000000" w:rsidRPr="00000000" w14:paraId="0000000A">
            <w:pPr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Mobil:602 707 481, E-mail: info@topseminare.cz</w:t>
            </w:r>
          </w:p>
          <w:p w:rsidR="00000000" w:rsidDel="00000000" w:rsidP="00000000" w:rsidRDefault="00000000" w:rsidRPr="00000000" w14:paraId="0000000B">
            <w:pPr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více informací na: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www.topseminare.cz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after="40" w:before="840" w:line="240" w:lineRule="auto"/>
        <w:ind w:right="720"/>
        <w:rPr>
          <w:rFonts w:ascii="Twentieth Century" w:cs="Twentieth Century" w:eastAsia="Twentieth Century" w:hAnsi="Twentieth Century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800"/>
        </w:tabs>
        <w:spacing w:after="0" w:before="40" w:line="240" w:lineRule="auto"/>
        <w:ind w:left="720" w:right="720" w:firstLine="0"/>
        <w:jc w:val="center"/>
        <w:rPr>
          <w:rFonts w:ascii="Arial" w:cs="Arial" w:eastAsia="Arial" w:hAnsi="Arial"/>
          <w:b w:val="1"/>
          <w:bCs w:val="1"/>
          <w:color w:val="595959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595959"/>
          <w:sz w:val="20"/>
          <w:szCs w:val="20"/>
          <w:rtl w:val="0"/>
        </w:rPr>
        <w:t xml:space="preserve">si Vás dovolujeme pozvat na seminář</w:t>
      </w:r>
    </w:p>
    <w:p w:rsidR="00000000" w:rsidDel="00000000" w:rsidP="00000000" w:rsidRDefault="00000000" w:rsidRPr="00000000" w14:paraId="0000000E">
      <w:pPr>
        <w:tabs>
          <w:tab w:val="left" w:leader="none" w:pos="1800"/>
        </w:tabs>
        <w:spacing w:after="0" w:before="40" w:line="240" w:lineRule="auto"/>
        <w:ind w:left="720" w:right="720" w:firstLine="0"/>
        <w:jc w:val="center"/>
        <w:rPr>
          <w:rFonts w:ascii="Arial" w:cs="Arial" w:eastAsia="Arial" w:hAnsi="Arial"/>
          <w:b w:val="1"/>
          <w:bCs w:val="1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1800"/>
        </w:tabs>
        <w:spacing w:after="0" w:before="40" w:line="240" w:lineRule="auto"/>
        <w:ind w:left="720" w:right="720" w:firstLine="0"/>
        <w:jc w:val="center"/>
        <w:rPr>
          <w:rFonts w:ascii="Arial" w:cs="Arial" w:eastAsia="Arial" w:hAnsi="Arial"/>
          <w:b w:val="1"/>
          <w:bCs w:val="1"/>
          <w:color w:val="595959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800"/>
        </w:tabs>
        <w:spacing w:after="0" w:before="40" w:line="240" w:lineRule="auto"/>
        <w:ind w:left="720" w:right="720" w:firstLine="0"/>
        <w:jc w:val="center"/>
        <w:rPr>
          <w:rFonts w:ascii="Arial" w:cs="Arial" w:eastAsia="Arial" w:hAnsi="Arial"/>
          <w:color w:val="3366f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  <w:bCs w:val="1"/>
          <w:i w:val="0"/>
          <w:iCs w:val="0"/>
          <w:color w:val="4472c4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4472c4"/>
          <w:sz w:val="32"/>
          <w:szCs w:val="32"/>
          <w:rtl w:val="0"/>
        </w:rPr>
        <w:t xml:space="preserve">„</w:t>
      </w:r>
      <w:r w:rsidDel="00000000" w:rsidR="00000000" w:rsidRPr="00000000">
        <w:rPr>
          <w:b w:val="1"/>
          <w:bCs w:val="1"/>
          <w:color w:val="4472c4"/>
          <w:sz w:val="32"/>
          <w:szCs w:val="32"/>
          <w:rtl w:val="0"/>
        </w:rPr>
        <w:t xml:space="preserve">Komunikační obrana před manipulací v komunikaci sociálních pracovníků s klienty a ostatními osobami v rámci výkonu sociální práce</w:t>
      </w:r>
      <w:r w:rsidDel="00000000" w:rsidR="00000000" w:rsidRPr="00000000">
        <w:rPr>
          <w:rFonts w:ascii="Arial" w:cs="Arial" w:eastAsia="Arial" w:hAnsi="Arial"/>
          <w:color w:val="4472c4"/>
          <w:sz w:val="32"/>
          <w:szCs w:val="32"/>
          <w:rtl w:val="0"/>
        </w:rPr>
        <w:t xml:space="preserve">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bCs w:val="1"/>
          <w:color w:val="44546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  <w:i w:val="0"/>
          <w:iCs w:val="0"/>
          <w:color w:val="7030a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7030a0"/>
          <w:sz w:val="24"/>
          <w:szCs w:val="24"/>
          <w:rtl w:val="0"/>
        </w:rPr>
        <w:t xml:space="preserve">Akreditace MPSV</w:t>
      </w:r>
      <w:r w:rsidDel="00000000" w:rsidR="00000000" w:rsidRPr="00000000">
        <w:rPr>
          <w:rFonts w:ascii="Arial" w:cs="Arial" w:eastAsia="Arial" w:hAnsi="Arial"/>
          <w:color w:val="7030a0"/>
          <w:sz w:val="24"/>
          <w:szCs w:val="24"/>
          <w:rtl w:val="0"/>
        </w:rPr>
        <w:t xml:space="preserve">: „</w:t>
      </w:r>
      <w:r w:rsidDel="00000000" w:rsidR="00000000" w:rsidRPr="00000000">
        <w:rPr>
          <w:b w:val="1"/>
          <w:bCs w:val="1"/>
          <w:color w:val="7030a0"/>
          <w:sz w:val="24"/>
          <w:szCs w:val="24"/>
          <w:rtl w:val="0"/>
        </w:rPr>
        <w:t xml:space="preserve">Komunikační obrana před manipulací v komunikaci sociálních pracovníků s klienty a ostatními osobami v rámci výkonu sociální práce</w:t>
      </w:r>
      <w:r w:rsidDel="00000000" w:rsidR="00000000" w:rsidRPr="00000000">
        <w:rPr>
          <w:rFonts w:ascii="Arial" w:cs="Arial" w:eastAsia="Arial" w:hAnsi="Arial"/>
          <w:color w:val="7030a0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030a0"/>
          <w:sz w:val="24"/>
          <w:szCs w:val="24"/>
          <w:rtl w:val="0"/>
        </w:rPr>
        <w:t xml:space="preserve"> 2025/0544-SP</w:t>
      </w:r>
      <w:r w:rsidDel="00000000" w:rsidR="00000000" w:rsidRPr="00000000">
        <w:rPr>
          <w:rFonts w:ascii="Arial" w:cs="Arial" w:eastAsia="Arial" w:hAnsi="Arial"/>
          <w:i w:val="1"/>
          <w:iCs w:val="1"/>
          <w:color w:val="7030a0"/>
          <w:sz w:val="24"/>
          <w:szCs w:val="24"/>
          <w:rtl w:val="0"/>
        </w:rPr>
        <w:t xml:space="preserve"> (8. hodin) kombinovaná forma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bCs w:val="1"/>
          <w:color w:val="4472c4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4472c4"/>
          <w:sz w:val="24"/>
          <w:szCs w:val="24"/>
          <w:rtl w:val="0"/>
        </w:rPr>
        <w:t xml:space="preserve">akreditace MVČR: „</w:t>
      </w:r>
      <w:r w:rsidDel="00000000" w:rsidR="00000000" w:rsidRPr="00000000">
        <w:rPr>
          <w:b w:val="1"/>
          <w:bCs w:val="1"/>
          <w:color w:val="4472c4"/>
          <w:sz w:val="24"/>
          <w:szCs w:val="24"/>
          <w:rtl w:val="0"/>
        </w:rPr>
        <w:t xml:space="preserve">Komunikační obrana před manipulací v komunikaci sociálních pracovníků s klienty a ostatními osobami v rámci výkonu sociální práce</w:t>
      </w:r>
      <w:r w:rsidDel="00000000" w:rsidR="00000000" w:rsidRPr="00000000">
        <w:rPr>
          <w:rFonts w:ascii="Arial" w:cs="Arial" w:eastAsia="Arial" w:hAnsi="Arial"/>
          <w:b w:val="1"/>
          <w:bCs w:val="1"/>
          <w:color w:val="4472c4"/>
          <w:sz w:val="24"/>
          <w:szCs w:val="24"/>
          <w:rtl w:val="0"/>
        </w:rPr>
        <w:t xml:space="preserve"> (videokurz)</w:t>
      </w:r>
      <w:r w:rsidDel="00000000" w:rsidR="00000000" w:rsidRPr="00000000">
        <w:rPr>
          <w:rFonts w:ascii="Arial" w:cs="Arial" w:eastAsia="Arial" w:hAnsi="Arial"/>
          <w:color w:val="4472c4"/>
          <w:sz w:val="24"/>
          <w:szCs w:val="24"/>
          <w:rtl w:val="0"/>
        </w:rPr>
        <w:t xml:space="preserve">“</w:t>
      </w:r>
      <w:r w:rsidDel="00000000" w:rsidR="00000000" w:rsidRPr="00000000">
        <w:rPr>
          <w:color w:val="4472c4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472c4"/>
          <w:sz w:val="24"/>
          <w:szCs w:val="24"/>
          <w:rtl w:val="0"/>
        </w:rPr>
        <w:t xml:space="preserve">(program vypracovaný dle zákona č. 312/2002 Sb., o úřednících ÚSC v aktuálním znění. (8 hodin)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4472c4"/>
          <w:sz w:val="24"/>
          <w:szCs w:val="24"/>
          <w:rtl w:val="0"/>
        </w:rPr>
        <w:t xml:space="preserve">Akreditace vzdělávací instituce AK/I-53/2017</w:t>
      </w:r>
      <w:r w:rsidDel="00000000" w:rsidR="00000000" w:rsidRPr="00000000">
        <w:rPr>
          <w:rtl w:val="0"/>
        </w:rPr>
      </w:r>
    </w:p>
    <w:tbl>
      <w:tblPr>
        <w:tblStyle w:val="Table2"/>
        <w:tblW w:w="10708.0" w:type="dxa"/>
        <w:jc w:val="left"/>
        <w:tblInd w:w="15.0" w:type="dxa"/>
        <w:tblLayout w:type="fixed"/>
        <w:tblLook w:val="0400"/>
      </w:tblPr>
      <w:tblGrid>
        <w:gridCol w:w="3513"/>
        <w:gridCol w:w="7195"/>
        <w:tblGridChange w:id="0">
          <w:tblGrid>
            <w:gridCol w:w="3513"/>
            <w:gridCol w:w="7195"/>
          </w:tblGrid>
        </w:tblGridChange>
      </w:tblGrid>
      <w:tr>
        <w:trPr>
          <w:cantSplit w:val="0"/>
          <w:trHeight w:val="642" w:hRule="atLeast"/>
          <w:tblHeader w:val="0"/>
        </w:trPr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  <w:shd w:fill="00a4de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Komunikační obrana před manipulací v komunikaci sociálních pracovníků s klienty a ostatními osobami v rámci výkonu sociální práce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(videokurz)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ee0000"/>
                <w:sz w:val="28"/>
                <w:szCs w:val="28"/>
                <w:rtl w:val="0"/>
              </w:rPr>
              <w:t xml:space="preserve">NOVINKA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Akreditace: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hd w:fill="ffffff" w:val="clear"/>
              <w:spacing w:after="0" w:before="40" w:line="240" w:lineRule="auto"/>
              <w:ind w:right="72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800080"/>
                <w:sz w:val="24"/>
                <w:szCs w:val="24"/>
                <w:rtl w:val="0"/>
              </w:rPr>
              <w:t xml:space="preserve">MPSV: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7030a0"/>
                <w:sz w:val="24"/>
                <w:szCs w:val="24"/>
                <w:rtl w:val="0"/>
              </w:rPr>
              <w:t xml:space="preserve">2025/0544-SP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800080"/>
                <w:sz w:val="24"/>
                <w:szCs w:val="24"/>
                <w:rtl w:val="0"/>
              </w:rPr>
              <w:t xml:space="preserve"> (8. hodin) online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80008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33399"/>
                <w:sz w:val="20"/>
                <w:szCs w:val="20"/>
                <w:rtl w:val="0"/>
              </w:rPr>
              <w:t xml:space="preserve">MVČR: </w:t>
            </w:r>
            <w:r w:rsidDel="00000000" w:rsidR="00000000" w:rsidRPr="00000000">
              <w:rPr>
                <w:rFonts w:ascii="Calibri" w:cs="Calibri" w:eastAsia="Calibri" w:hAnsi="Calibri"/>
                <w:color w:val="4472c4"/>
                <w:rtl w:val="0"/>
              </w:rPr>
              <w:t xml:space="preserve">(program vypracovaný dle zákona č. 312/2002 Sb., o úřednících ÚSC v aktuálním znění. (8 hodin)) Akreditace vzdělávací instituce AK/I-53/2017 (videokurz)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Variabilní symbol: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202606008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Přednáší: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Dr. Ing. Jiří Staněk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 zapsaný mediátor, individuální, rodinný i párový psychoterapeut, manželský poradce, zkušený lektor. Práce s dětmi, které jsou oběťmi trestných činů.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Termín konání: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4"/>
                <w:szCs w:val="24"/>
                <w:rtl w:val="0"/>
              </w:rPr>
              <w:t xml:space="preserve">25.06. 2026 (čtvrtek) od 8,00 hod.</w:t>
            </w:r>
            <w:r w:rsidDel="00000000" w:rsidR="00000000" w:rsidRPr="00000000">
              <w:rPr>
                <w:color w:val="00206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(prezence od 7,30hod – 8,00 hod.)</w:t>
              <w:br w:type="textWrapping"/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Místo konání: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ee0000"/>
                <w:sz w:val="24"/>
                <w:szCs w:val="24"/>
                <w:rtl w:val="0"/>
              </w:rPr>
              <w:t xml:space="preserve">ON-LINE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Cena: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c00000"/>
                <w:sz w:val="24"/>
                <w:szCs w:val="24"/>
                <w:rtl w:val="0"/>
              </w:rPr>
              <w:t xml:space="preserve">1 990 Kč / osoba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Organizace: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4"/>
                <w:szCs w:val="24"/>
                <w:rtl w:val="0"/>
              </w:rPr>
              <w:t xml:space="preserve">TOP. Semináře s.r.o.  IČ: 06546897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tabs>
          <w:tab w:val="left" w:leader="none" w:pos="10195"/>
        </w:tabs>
        <w:spacing w:after="0" w:before="40" w:line="240" w:lineRule="auto"/>
        <w:ind w:right="-11"/>
        <w:jc w:val="both"/>
        <w:rPr>
          <w:rFonts w:ascii="Arial" w:cs="Arial" w:eastAsia="Arial" w:hAnsi="Arial"/>
          <w:b w:val="1"/>
          <w:bCs w:val="1"/>
          <w:color w:val="00b0f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Anotace</w:t>
      </w:r>
    </w:p>
    <w:p w:rsidR="00000000" w:rsidDel="00000000" w:rsidP="00000000" w:rsidRDefault="00000000" w:rsidRPr="00000000" w14:paraId="00000029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V úvodu semináře lektor objasní základní pojmy z oblasti manipulace v komunikaci. Poté dojde na jednotlivé formy manipulace a také na to, jak tyto formy rozpoznat. V další části semináře se posluchači dozví, které obranné strategie jsou pro dané situace účinné. V nosné části školení půjde o manipulaci, se kterou se absolventi kurzu mohou setkat v sociální práci. Bude probrána manipulace ze strany klientů, rodinných příslušníků, kolegů nebo nadřízených. Etickým aspektům a profesní zodpovědnosti se věnuje následné pokračování. Na závěr dojde ke stručnému shrnutí probraného tématu a následné diskusi.</w:t>
      </w:r>
    </w:p>
    <w:p w:rsidR="00000000" w:rsidDel="00000000" w:rsidP="00000000" w:rsidRDefault="00000000" w:rsidRPr="00000000" w14:paraId="0000002A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bCs w:val="1"/>
          <w:sz w:val="28"/>
          <w:szCs w:val="28"/>
        </w:rPr>
      </w:pPr>
      <w:bookmarkStart w:colFirst="0" w:colLast="0" w:name="_kujqlyqhks6y" w:id="0"/>
      <w:bookmarkEnd w:id="0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Cílové kompetence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Absolventi obnovují svoje znalosti z oblasti pojmů souvisejících s manipulací v komunikaci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Absolventi doplňují poznatky o formách manipulace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Absolventi upevňují své dovednosti, pokud jde o obranné strategie proti manipulaci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Absolventi doplňují znalosti z oblasti možné manipulace v rámci sociální práce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Absolventi upevňují svoje schopnosti jednat při kontaktu s manipulací stále eticky s profesní odpovědností.</w:t>
      </w:r>
    </w:p>
    <w:p w:rsidR="00000000" w:rsidDel="00000000" w:rsidP="00000000" w:rsidRDefault="00000000" w:rsidRPr="00000000" w14:paraId="00000031">
      <w:pPr>
        <w:spacing w:after="360" w:before="40" w:line="240" w:lineRule="auto"/>
        <w:ind w:left="720" w:right="720" w:firstLine="0"/>
        <w:rPr>
          <w:i w:val="1"/>
          <w:iCs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360" w:before="40" w:line="240" w:lineRule="auto"/>
        <w:ind w:left="720" w:right="720" w:firstLine="0"/>
        <w:rPr>
          <w:i w:val="1"/>
          <w:iCs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  <w:rtl w:val="0"/>
        </w:rPr>
        <w:t xml:space="preserve">Součástí ceny je osvědčení o absolvování semináře, materiály k tématu v elektronické podobě </w:t>
      </w:r>
    </w:p>
    <w:p w:rsidR="00000000" w:rsidDel="00000000" w:rsidP="00000000" w:rsidRDefault="00000000" w:rsidRPr="00000000" w14:paraId="00000034">
      <w:pPr>
        <w:tabs>
          <w:tab w:val="left" w:leader="none" w:pos="3330"/>
        </w:tabs>
        <w:ind w:right="-153"/>
        <w:jc w:val="both"/>
        <w:rPr>
          <w:b w:val="1"/>
          <w:bCs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3330"/>
        </w:tabs>
        <w:ind w:right="-153"/>
        <w:jc w:val="both"/>
        <w:rPr>
          <w:b w:val="1"/>
          <w:bCs w:val="1"/>
          <w:color w:val="00b0f0"/>
        </w:rPr>
      </w:pPr>
      <w:r w:rsidDel="00000000" w:rsidR="00000000" w:rsidRPr="00000000">
        <w:rPr>
          <w:b w:val="1"/>
          <w:bCs w:val="1"/>
          <w:color w:val="00b0f0"/>
          <w:sz w:val="20"/>
          <w:szCs w:val="20"/>
          <w:rtl w:val="0"/>
        </w:rPr>
        <w:t xml:space="preserve">Jak se přihlásit:</w:t>
      </w:r>
      <w:r w:rsidDel="00000000" w:rsidR="00000000" w:rsidRPr="00000000">
        <w:rPr>
          <w:b w:val="1"/>
          <w:bCs w:val="1"/>
          <w:color w:val="00b0f0"/>
          <w:rtl w:val="0"/>
        </w:rPr>
        <w:t xml:space="preserve">  </w:t>
        <w:tab/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53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Zaplaťte účastnický poplatek a vyplňte přihlašovací formulář, prostřednictvím našich webových stránek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www.topseminare.cz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Úředníci ÚSC mohou realizovat platbu za seminář až po obdržení faktury po semináři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Nejasnosti a dotazy rádi vyřídíme telefonicky či emailem (kontakty viz výše nebo na webových stránkách).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 lhůtě tři dny a méně před konáním akce není možné zrušit účast na semináři. Kdykoli je možné nahlásit náhradníka na </w:t>
      </w:r>
      <w:hyperlink r:id="rId9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info@topseminare.cz</w:t>
        </w:r>
      </w:hyperlink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7">
      <w:pPr>
        <w:ind w:right="-153"/>
        <w:rPr>
          <w:b w:val="1"/>
          <w:bCs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right="-153"/>
        <w:rPr>
          <w:b w:val="1"/>
          <w:bCs w:val="1"/>
          <w:color w:val="00b0f0"/>
          <w:sz w:val="20"/>
          <w:szCs w:val="20"/>
        </w:rPr>
      </w:pPr>
      <w:r w:rsidDel="00000000" w:rsidR="00000000" w:rsidRPr="00000000">
        <w:rPr>
          <w:b w:val="1"/>
          <w:bCs w:val="1"/>
          <w:color w:val="00b0f0"/>
          <w:sz w:val="20"/>
          <w:szCs w:val="20"/>
          <w:rtl w:val="0"/>
        </w:rPr>
        <w:t xml:space="preserve">Zaplacení a smluvní podmínky: </w:t>
      </w:r>
    </w:p>
    <w:p w:rsidR="00000000" w:rsidDel="00000000" w:rsidP="00000000" w:rsidRDefault="00000000" w:rsidRPr="00000000" w14:paraId="00000039">
      <w:pPr>
        <w:spacing w:after="360" w:before="40" w:line="240" w:lineRule="auto"/>
        <w:ind w:right="720"/>
        <w:rPr>
          <w:rFonts w:ascii="Twentieth Century" w:cs="Twentieth Century" w:eastAsia="Twentieth Century" w:hAnsi="Twentieth Century"/>
          <w:color w:val="595959"/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Úhradu semináře proveďte na náš </w:t>
      </w:r>
      <w:r w:rsidDel="00000000" w:rsidR="00000000" w:rsidRPr="00000000">
        <w:rPr>
          <w:b w:val="1"/>
          <w:bCs w:val="1"/>
          <w:i w:val="1"/>
          <w:iCs w:val="1"/>
          <w:color w:val="ff0000"/>
          <w:sz w:val="20"/>
          <w:szCs w:val="20"/>
          <w:rtl w:val="0"/>
        </w:rPr>
        <w:t xml:space="preserve">účet č. 5000500032/5500 Raiffeisen Bank</w:t>
      </w:r>
      <w:r w:rsidDel="00000000" w:rsidR="00000000" w:rsidRPr="00000000">
        <w:rPr>
          <w:sz w:val="20"/>
          <w:szCs w:val="20"/>
          <w:rtl w:val="0"/>
        </w:rPr>
        <w:t xml:space="preserve">, neopomeňte uvést správný variabilní symbol. Daňový doklad obdrží účastníci v den konání semináře. V případě neúčasti se vložné nevrací, ale je možné poslat náhradníka</w:t>
      </w: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Trebuchet MS"/>
  <w:font w:name="Courier New"/>
  <w:font w:name="Twentieth Century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@topseminare.cz" TargetMode="External"/><Relationship Id="rId15" Type="http://schemas.openxmlformats.org/officeDocument/2006/relationships/footer" Target="foot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yperlink" Target="http://www.topseminare.cz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