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9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before="40" w:line="240" w:lineRule="auto"/>
        <w:ind w:left="720" w:right="720" w:firstLine="0"/>
        <w:jc w:val="center"/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„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36"/>
          <w:szCs w:val="36"/>
          <w:rtl w:val="0"/>
        </w:rPr>
        <w:t xml:space="preserve">Aktuální změny v sociální oblasti-úvod do problematiky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“ </w:t>
      </w:r>
    </w:p>
    <w:p w:rsidR="00000000" w:rsidDel="00000000" w:rsidP="00000000" w:rsidRDefault="00000000" w:rsidRPr="00000000" w14:paraId="00000013">
      <w:pPr>
        <w:spacing w:after="360" w:before="40" w:line="240" w:lineRule="auto"/>
        <w:ind w:right="72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i w:val="0"/>
          <w:iCs w:val="0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Akreditace MPSV: </w:t>
      </w: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rtl w:val="0"/>
        </w:rPr>
        <w:t xml:space="preserve">Aktuální změny v sociální oblasti-úvod do problematiky A2023/1494-SP/PC/VP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color w:val="4472c4"/>
        </w:rPr>
      </w:pP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akreditace MVČR: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Aktuální změny v sociální oblasti-úvod do problematiky /videokurz/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 videokurz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color w:val="4472c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Poppins" w:cs="Poppins" w:eastAsia="Poppins" w:hAnsi="Poppins"/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Aktuální změny v sociální oblasti-úvod do problematiky 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hd w:fill="ffffff" w:val="clear"/>
              <w:spacing w:after="0" w:before="40" w:line="240" w:lineRule="auto"/>
              <w:ind w:right="720"/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0080"/>
                <w:sz w:val="20"/>
                <w:szCs w:val="20"/>
                <w:rtl w:val="0"/>
              </w:rPr>
              <w:t xml:space="preserve">MPSV: A2023/1494-SP/PC/VP (8. hodin) online forma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202601121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white"/>
                <w:rtl w:val="0"/>
              </w:rPr>
              <w:t xml:space="preserve">Mgr. Radka Pešlová: o</w:t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dborný lektor výkonu veřejné opatrovnictví a sociálních témat, dříve výuka na Masarykově Univerzitě v Brně, Karlově Universitě, Pedagogická fakulta M. D. Rettigové Praha; Právník a poradce Moravskoslezský kruh, projekt Pečujeme doma (dříve též Diakonie projekt Pečuj doma); v minulosti vyučující na Zkouškách odborné způsobilosti pro výkon Veřejného opatrovnictví.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26.11. 2026 (čtvrtek)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Anotace </w:t>
      </w:r>
    </w:p>
    <w:p w:rsidR="00000000" w:rsidDel="00000000" w:rsidP="00000000" w:rsidRDefault="00000000" w:rsidRPr="00000000" w14:paraId="0000002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Všichni sociální pracovníci a pracovníci v sociálních službách musí splňovat základní požadavky na své vzdělání. Vzhledem k tomu, že se ale oblast, ve které pracují, řídí nejen lidskostí, ale i právem, je třeba znát i změny, které nám přináší současná i budoucí legislativa, abychom mohli jednak pečovat o druhé dle práva a také těmto lidem v souladu s právem poradit a pomoci. Kurz zabezpečuje pouze průřezem informace o tom, co se v oblasti legislativy se zaměřením na sociální oblast chystá, co už bylo schváleno, co brání schválení nebo čím se schválení podařilo ovlivnit, a také kde najdete více informací o průběhu schvalování.</w:t>
      </w:r>
    </w:p>
    <w:p w:rsidR="00000000" w:rsidDel="00000000" w:rsidP="00000000" w:rsidRDefault="00000000" w:rsidRPr="00000000" w14:paraId="0000002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Nejde o výklad jednotlivé problematiky v komplexu (k tomuto slouží jednotlivé semináře), ale aby posluchač stručným způsobem dostal informaci, na co vše si má dát v příštím roce pozor, co se mění. Jde o ucelený přehled v rámci, kterého jsou navštěvovány vybrané sociální oblasti s cílem poukázat na drobné informace o změnách v legislativě, na kterou jsou navázány.</w:t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Cílové kompetence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Absolvent kurzu doplní svoje znalosti v rámci současného legislativního stavu, pojícím se k sociální oblasti a doplňuje svoje poznatky v tomto směru.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Absolvent upevňuje povědomí o plánovaných změnách v legislativě a v nastavení systému od 1.1.2027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Absolvent upevňuje svoje znalosti a informace o novinkách, záměrech, očekáváních v sociální oblasti. </w:t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  <w:t xml:space="preserve">Absolvent srozuměn se vzájemným propojením aktuálních změn v sociální oblasti na ostatní oblasti legislativy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bookmarkStart w:colFirst="0" w:colLast="0" w:name="_evnhuo6s5d6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3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5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7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8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40" w:line="240" w:lineRule="auto"/>
        <w:ind w:left="720" w:right="720" w:firstLine="0"/>
        <w:rPr>
          <w:rFonts w:ascii="Twentieth Century" w:cs="Twentieth Century" w:eastAsia="Twentieth Century" w:hAnsi="Twentieth Century"/>
          <w:b w:val="1"/>
          <w:bCs w:val="1"/>
          <w:color w:val="1cade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Twentieth Century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