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before="120" w:line="240" w:lineRule="auto"/>
        <w:ind w:left="720" w:right="720" w:firstLine="0"/>
        <w:rPr>
          <w:rFonts w:ascii="Twentieth Century" w:cs="Twentieth Century" w:eastAsia="Twentieth Century" w:hAnsi="Twentieth Century"/>
          <w:color w:val="595959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-457199</wp:posOffset>
                </wp:positionH>
                <wp:positionV relativeFrom="paragraph">
                  <wp:posOffset>-457833</wp:posOffset>
                </wp:positionV>
                <wp:extent cx="8247380" cy="2141220"/>
                <wp:effectExtent b="0" l="0" r="0" t="0"/>
                <wp:wrapNone/>
                <wp:docPr id="1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1222300" y="2709375"/>
                          <a:ext cx="8247380" cy="2141220"/>
                          <a:chOff x="1222300" y="2709375"/>
                          <a:chExt cx="8247375" cy="2141250"/>
                        </a:xfrm>
                      </wpg:grpSpPr>
                      <wpg:grpSp>
                        <wpg:cNvGrpSpPr/>
                        <wpg:grpSpPr>
                          <a:xfrm>
                            <a:off x="1222310" y="2709390"/>
                            <a:ext cx="8247380" cy="2141220"/>
                            <a:chOff x="-7144" y="-7144"/>
                            <a:chExt cx="6005513" cy="1924050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-7144" y="-7144"/>
                              <a:ext cx="6005500" cy="19240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4" name="Shape 4"/>
                          <wps:spPr>
                            <a:xfrm>
                              <a:off x="2121694" y="-7144"/>
                              <a:ext cx="3876675" cy="1762125"/>
                            </a:xfrm>
                            <a:custGeom>
                              <a:rect b="b" l="l" r="r" t="t"/>
                              <a:pathLst>
                                <a:path extrusionOk="0" h="1762125" w="3876675">
                                  <a:moveTo>
                                    <a:pt x="3869531" y="1359694"/>
                                  </a:moveTo>
                                  <a:cubicBezTo>
                                    <a:pt x="3869531" y="1359694"/>
                                    <a:pt x="3379946" y="1834039"/>
                                    <a:pt x="2359819" y="1744504"/>
                                  </a:cubicBezTo>
                                  <a:cubicBezTo>
                                    <a:pt x="1339691" y="1654969"/>
                                    <a:pt x="936784" y="1180624"/>
                                    <a:pt x="7144" y="1287304"/>
                                  </a:cubicBezTo>
                                  <a:lnTo>
                                    <a:pt x="7144" y="7144"/>
                                  </a:lnTo>
                                  <a:lnTo>
                                    <a:pt x="3869531" y="7144"/>
                                  </a:lnTo>
                                  <a:lnTo>
                                    <a:pt x="3869531" y="135969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683C6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5" name="Shape 5"/>
                          <wps:spPr>
                            <a:xfrm>
                              <a:off x="-7144" y="-7144"/>
                              <a:ext cx="6000750" cy="1924050"/>
                            </a:xfrm>
                            <a:custGeom>
                              <a:rect b="b" l="l" r="r" t="t"/>
                              <a:pathLst>
                                <a:path extrusionOk="0" h="1924050" w="6000750">
                                  <a:moveTo>
                                    <a:pt x="7144" y="1699736"/>
                                  </a:moveTo>
                                  <a:cubicBezTo>
                                    <a:pt x="7144" y="1699736"/>
                                    <a:pt x="1410176" y="2317909"/>
                                    <a:pt x="2934176" y="1484471"/>
                                  </a:cubicBezTo>
                                  <a:cubicBezTo>
                                    <a:pt x="4459129" y="651986"/>
                                    <a:pt x="5998369" y="893921"/>
                                    <a:pt x="5998369" y="893921"/>
                                  </a:cubicBezTo>
                                  <a:lnTo>
                                    <a:pt x="5998369" y="7144"/>
                                  </a:lnTo>
                                  <a:lnTo>
                                    <a:pt x="7144" y="7144"/>
                                  </a:lnTo>
                                  <a:lnTo>
                                    <a:pt x="7144" y="169973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CADE4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6" name="Shape 6"/>
                          <wps:spPr>
                            <a:xfrm>
                              <a:off x="-7144" y="-7144"/>
                              <a:ext cx="6000750" cy="904875"/>
                            </a:xfrm>
                            <a:custGeom>
                              <a:rect b="b" l="l" r="r" t="t"/>
                              <a:pathLst>
                                <a:path extrusionOk="0" h="904875" w="6000750">
                                  <a:moveTo>
                                    <a:pt x="7144" y="7144"/>
                                  </a:moveTo>
                                  <a:lnTo>
                                    <a:pt x="7144" y="613886"/>
                                  </a:lnTo>
                                  <a:cubicBezTo>
                                    <a:pt x="647224" y="1034891"/>
                                    <a:pt x="2136934" y="964406"/>
                                    <a:pt x="3546634" y="574834"/>
                                  </a:cubicBezTo>
                                  <a:cubicBezTo>
                                    <a:pt x="4882039" y="205264"/>
                                    <a:pt x="5998369" y="893921"/>
                                    <a:pt x="5998369" y="893921"/>
                                  </a:cubicBezTo>
                                  <a:lnTo>
                                    <a:pt x="5998369" y="7144"/>
                                  </a:lnTo>
                                  <a:lnTo>
                                    <a:pt x="7144" y="7144"/>
                                  </a:lnTo>
                                  <a:close/>
                                </a:path>
                              </a:pathLst>
                            </a:custGeom>
                            <a:gradFill>
                              <a:gsLst>
                                <a:gs pos="0">
                                  <a:srgbClr val="1CADE4"/>
                                </a:gs>
                                <a:gs pos="100000">
                                  <a:srgbClr val="75CEEF"/>
                                </a:gs>
                              </a:gsLst>
                              <a:lin ang="0" scaled="0"/>
                            </a:gra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7" name="Shape 7"/>
                          <wps:spPr>
                            <a:xfrm>
                              <a:off x="3176111" y="924401"/>
                              <a:ext cx="2819400" cy="828675"/>
                            </a:xfrm>
                            <a:custGeom>
                              <a:rect b="b" l="l" r="r" t="t"/>
                              <a:pathLst>
                                <a:path extrusionOk="0" h="828675" w="2819400">
                                  <a:moveTo>
                                    <a:pt x="7144" y="481489"/>
                                  </a:moveTo>
                                  <a:cubicBezTo>
                                    <a:pt x="380524" y="602456"/>
                                    <a:pt x="751999" y="764381"/>
                                    <a:pt x="1305401" y="812959"/>
                                  </a:cubicBezTo>
                                  <a:cubicBezTo>
                                    <a:pt x="2325529" y="902494"/>
                                    <a:pt x="2815114" y="428149"/>
                                    <a:pt x="2815114" y="428149"/>
                                  </a:cubicBezTo>
                                  <a:lnTo>
                                    <a:pt x="2815114" y="7144"/>
                                  </a:lnTo>
                                  <a:cubicBezTo>
                                    <a:pt x="2332196" y="236696"/>
                                    <a:pt x="1376839" y="568166"/>
                                    <a:pt x="7144" y="481489"/>
                                  </a:cubicBezTo>
                                  <a:close/>
                                </a:path>
                              </a:pathLst>
                            </a:custGeom>
                            <a:gradFill>
                              <a:gsLst>
                                <a:gs pos="0">
                                  <a:srgbClr val="2683C6"/>
                                </a:gs>
                                <a:gs pos="100000">
                                  <a:srgbClr val="1C6294"/>
                                </a:gs>
                              </a:gsLst>
                              <a:lin ang="0" scaled="0"/>
                            </a:gra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-457199</wp:posOffset>
                </wp:positionH>
                <wp:positionV relativeFrom="paragraph">
                  <wp:posOffset>-457833</wp:posOffset>
                </wp:positionV>
                <wp:extent cx="8247380" cy="2141220"/>
                <wp:effectExtent b="0" l="0" r="0" t="0"/>
                <wp:wrapNone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247380" cy="214122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Table1"/>
        <w:tblW w:w="10790.0" w:type="dxa"/>
        <w:jc w:val="center"/>
        <w:tblLayout w:type="fixed"/>
        <w:tblLook w:val="0600"/>
      </w:tblPr>
      <w:tblGrid>
        <w:gridCol w:w="10790"/>
        <w:tblGridChange w:id="0">
          <w:tblGrid>
            <w:gridCol w:w="10790"/>
          </w:tblGrid>
        </w:tblGridChange>
      </w:tblGrid>
      <w:tr>
        <w:trPr>
          <w:cantSplit w:val="0"/>
          <w:trHeight w:val="86" w:hRule="atLeast"/>
          <w:tblHeader w:val="0"/>
        </w:trPr>
        <w:tc>
          <w:tcPr/>
          <w:p w:rsidR="00000000" w:rsidDel="00000000" w:rsidP="00000000" w:rsidRDefault="00000000" w:rsidRPr="00000000" w14:paraId="00000002">
            <w:pPr>
              <w:spacing w:after="0" w:line="240" w:lineRule="auto"/>
              <w:ind w:right="720"/>
              <w:rPr>
                <w:rFonts w:ascii="Twentieth Century" w:cs="Twentieth Century" w:eastAsia="Twentieth Century" w:hAnsi="Twentieth Century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64" w:hRule="atLeast"/>
          <w:tblHeader w:val="0"/>
        </w:trPr>
        <w:tc>
          <w:tcPr/>
          <w:p w:rsidR="00000000" w:rsidDel="00000000" w:rsidP="00000000" w:rsidRDefault="00000000" w:rsidRPr="00000000" w14:paraId="00000003">
            <w:pPr>
              <w:tabs>
                <w:tab w:val="left" w:leader="none" w:pos="1800"/>
              </w:tabs>
              <w:spacing w:after="0" w:before="40" w:line="240" w:lineRule="auto"/>
              <w:ind w:right="720"/>
              <w:rPr>
                <w:rFonts w:ascii="Twentieth Century" w:cs="Twentieth Century" w:eastAsia="Twentieth Century" w:hAnsi="Twentieth Century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64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04">
            <w:pPr>
              <w:tabs>
                <w:tab w:val="left" w:leader="none" w:pos="1800"/>
              </w:tabs>
              <w:spacing w:after="0" w:before="40" w:line="240" w:lineRule="auto"/>
              <w:ind w:right="720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            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TOP Semináře s.r.o.,</w:t>
            </w:r>
          </w:p>
          <w:p w:rsidR="00000000" w:rsidDel="00000000" w:rsidP="00000000" w:rsidRDefault="00000000" w:rsidRPr="00000000" w14:paraId="00000005">
            <w:pPr>
              <w:tabs>
                <w:tab w:val="left" w:leader="none" w:pos="1800"/>
              </w:tabs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Vzdělávací agentura</w:t>
            </w:r>
          </w:p>
          <w:p w:rsidR="00000000" w:rsidDel="00000000" w:rsidP="00000000" w:rsidRDefault="00000000" w:rsidRPr="00000000" w14:paraId="00000006">
            <w:pPr>
              <w:tabs>
                <w:tab w:val="left" w:leader="none" w:pos="1800"/>
              </w:tabs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Akreditace programů MPSV </w:t>
            </w:r>
          </w:p>
          <w:p w:rsidR="00000000" w:rsidDel="00000000" w:rsidP="00000000" w:rsidRDefault="00000000" w:rsidRPr="00000000" w14:paraId="00000007">
            <w:pPr>
              <w:tabs>
                <w:tab w:val="left" w:leader="none" w:pos="1800"/>
              </w:tabs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Akreditovaná vzdělávací instituce MVČR AK/I-53/2017</w:t>
            </w:r>
          </w:p>
          <w:p w:rsidR="00000000" w:rsidDel="00000000" w:rsidP="00000000" w:rsidRDefault="00000000" w:rsidRPr="00000000" w14:paraId="00000008">
            <w:pPr>
              <w:tabs>
                <w:tab w:val="left" w:leader="none" w:pos="1125"/>
                <w:tab w:val="left" w:leader="none" w:pos="1800"/>
                <w:tab w:val="center" w:leader="none" w:pos="5097"/>
              </w:tabs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Zátiší 476/12, Ostrava – Svinov, 721 00</w:t>
            </w:r>
            <w:r w:rsidDel="00000000" w:rsidR="00000000" w:rsidRPr="00000000">
              <w:drawing>
                <wp:anchor allowOverlap="1" behindDoc="1" distB="0" distT="0" distL="0" distR="0" hidden="0" layoutInCell="1" locked="0" relativeHeight="0" simplePos="0">
                  <wp:simplePos x="0" y="0"/>
                  <wp:positionH relativeFrom="column">
                    <wp:posOffset>6156960</wp:posOffset>
                  </wp:positionH>
                  <wp:positionV relativeFrom="paragraph">
                    <wp:posOffset>9525</wp:posOffset>
                  </wp:positionV>
                  <wp:extent cx="1021080" cy="1074420"/>
                  <wp:effectExtent b="0" l="0" r="0" t="0"/>
                  <wp:wrapNone/>
                  <wp:docPr id="2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1080" cy="107442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09">
            <w:pPr>
              <w:tabs>
                <w:tab w:val="left" w:leader="none" w:pos="1800"/>
              </w:tabs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IČ: 06546897 </w:t>
            </w:r>
          </w:p>
          <w:p w:rsidR="00000000" w:rsidDel="00000000" w:rsidP="00000000" w:rsidRDefault="00000000" w:rsidRPr="00000000" w14:paraId="0000000A">
            <w:pPr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Mobil:602 707 481, E-mail: info@topseminare.cz</w:t>
            </w:r>
          </w:p>
          <w:p w:rsidR="00000000" w:rsidDel="00000000" w:rsidP="00000000" w:rsidRDefault="00000000" w:rsidRPr="00000000" w14:paraId="0000000B">
            <w:pPr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více informací na: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www.topseminare.cz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tabs>
                <w:tab w:val="left" w:leader="none" w:pos="1800"/>
              </w:tabs>
              <w:spacing w:after="0" w:before="40" w:line="240" w:lineRule="auto"/>
              <w:ind w:right="720"/>
              <w:rPr>
                <w:rFonts w:ascii="Twentieth Century" w:cs="Twentieth Century" w:eastAsia="Twentieth Century" w:hAnsi="Twentieth Century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D">
      <w:pPr>
        <w:spacing w:after="40" w:before="840" w:line="240" w:lineRule="auto"/>
        <w:ind w:right="720"/>
        <w:rPr>
          <w:rFonts w:ascii="Twentieth Century" w:cs="Twentieth Century" w:eastAsia="Twentieth Century" w:hAnsi="Twentieth Century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tabs>
          <w:tab w:val="left" w:leader="none" w:pos="1800"/>
        </w:tabs>
        <w:spacing w:after="0" w:before="40" w:line="240" w:lineRule="auto"/>
        <w:ind w:left="720" w:right="720" w:firstLine="0"/>
        <w:jc w:val="center"/>
        <w:rPr>
          <w:rFonts w:ascii="Arial" w:cs="Arial" w:eastAsia="Arial" w:hAnsi="Arial"/>
          <w:b w:val="1"/>
          <w:bCs w:val="1"/>
          <w:color w:val="595959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595959"/>
          <w:sz w:val="20"/>
          <w:szCs w:val="20"/>
          <w:rtl w:val="0"/>
        </w:rPr>
        <w:t xml:space="preserve">si Vás dovolujeme pozvat na seminář</w:t>
      </w:r>
    </w:p>
    <w:p w:rsidR="00000000" w:rsidDel="00000000" w:rsidP="00000000" w:rsidRDefault="00000000" w:rsidRPr="00000000" w14:paraId="0000000F">
      <w:pPr>
        <w:tabs>
          <w:tab w:val="left" w:leader="none" w:pos="1800"/>
        </w:tabs>
        <w:spacing w:after="0" w:before="40" w:line="240" w:lineRule="auto"/>
        <w:ind w:left="720" w:right="720" w:firstLine="0"/>
        <w:jc w:val="center"/>
        <w:rPr>
          <w:rFonts w:ascii="Arial" w:cs="Arial" w:eastAsia="Arial" w:hAnsi="Arial"/>
          <w:b w:val="1"/>
          <w:bCs w:val="1"/>
          <w:color w:val="595959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tabs>
          <w:tab w:val="left" w:leader="none" w:pos="1800"/>
        </w:tabs>
        <w:spacing w:after="0" w:before="40" w:line="240" w:lineRule="auto"/>
        <w:ind w:left="720" w:right="720" w:firstLine="0"/>
        <w:jc w:val="center"/>
        <w:rPr>
          <w:rFonts w:ascii="Arial" w:cs="Arial" w:eastAsia="Arial" w:hAnsi="Arial"/>
          <w:b w:val="1"/>
          <w:bCs w:val="1"/>
          <w:color w:val="595959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tabs>
          <w:tab w:val="left" w:leader="none" w:pos="1800"/>
        </w:tabs>
        <w:spacing w:after="0" w:before="40" w:line="240" w:lineRule="auto"/>
        <w:ind w:left="720" w:right="720" w:firstLine="0"/>
        <w:jc w:val="center"/>
        <w:rPr>
          <w:rFonts w:ascii="Arial" w:cs="Arial" w:eastAsia="Arial" w:hAnsi="Arial"/>
          <w:color w:val="3366ff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center"/>
        <w:rPr>
          <w:b w:val="1"/>
          <w:bCs w:val="1"/>
          <w:color w:val="4472c4"/>
          <w:sz w:val="40"/>
          <w:szCs w:val="4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4472c4"/>
          <w:sz w:val="40"/>
          <w:szCs w:val="40"/>
          <w:rtl w:val="0"/>
        </w:rPr>
        <w:t xml:space="preserve">„</w:t>
      </w:r>
      <w:r w:rsidDel="00000000" w:rsidR="00000000" w:rsidRPr="00000000">
        <w:rPr>
          <w:b w:val="1"/>
          <w:bCs w:val="1"/>
          <w:color w:val="4472c4"/>
          <w:sz w:val="40"/>
          <w:szCs w:val="40"/>
          <w:rtl w:val="0"/>
        </w:rPr>
        <w:t xml:space="preserve">Vybraná témata problematiky domácího násilí – děti jako osoby ohrožené domácím násilím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4472c4"/>
          <w:sz w:val="40"/>
          <w:szCs w:val="40"/>
          <w:rtl w:val="0"/>
        </w:rPr>
        <w:t xml:space="preserve">“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rFonts w:ascii="Arial" w:cs="Arial" w:eastAsia="Arial" w:hAnsi="Arial"/>
          <w:b w:val="1"/>
          <w:bCs w:val="1"/>
          <w:color w:val="44546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b w:val="1"/>
          <w:bCs w:val="1"/>
          <w:i w:val="0"/>
          <w:iCs w:val="0"/>
          <w:color w:val="7030a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7030a0"/>
          <w:sz w:val="24"/>
          <w:szCs w:val="24"/>
          <w:rtl w:val="0"/>
        </w:rPr>
        <w:t xml:space="preserve">Akreditace MPSV</w:t>
      </w:r>
      <w:r w:rsidDel="00000000" w:rsidR="00000000" w:rsidRPr="00000000">
        <w:rPr>
          <w:rFonts w:ascii="Arial" w:cs="Arial" w:eastAsia="Arial" w:hAnsi="Arial"/>
          <w:color w:val="7030a0"/>
          <w:sz w:val="24"/>
          <w:szCs w:val="24"/>
          <w:rtl w:val="0"/>
        </w:rPr>
        <w:t xml:space="preserve">: „</w:t>
      </w:r>
      <w:r w:rsidDel="00000000" w:rsidR="00000000" w:rsidRPr="00000000">
        <w:rPr>
          <w:b w:val="1"/>
          <w:bCs w:val="1"/>
          <w:color w:val="7030a0"/>
          <w:rtl w:val="0"/>
        </w:rPr>
        <w:t xml:space="preserve">Vybraná témata problematiky domácího násilí – děti jako osoby ohrožené domácím násilím</w:t>
      </w:r>
      <w:r w:rsidDel="00000000" w:rsidR="00000000" w:rsidRPr="00000000">
        <w:rPr>
          <w:rFonts w:ascii="Arial" w:cs="Arial" w:eastAsia="Arial" w:hAnsi="Arial"/>
          <w:color w:val="7030a0"/>
          <w:sz w:val="24"/>
          <w:szCs w:val="24"/>
          <w:rtl w:val="0"/>
        </w:rPr>
        <w:t xml:space="preserve">“</w:t>
      </w:r>
      <w:r w:rsidDel="00000000" w:rsidR="00000000" w:rsidRPr="00000000">
        <w:rPr>
          <w:b w:val="1"/>
          <w:bCs w:val="1"/>
          <w:color w:val="7030a0"/>
          <w:sz w:val="24"/>
          <w:szCs w:val="24"/>
          <w:rtl w:val="0"/>
        </w:rPr>
        <w:t xml:space="preserve"> </w:t>
      </w:r>
      <w:r w:rsidDel="00000000" w:rsidR="00000000" w:rsidRPr="00000000">
        <w:rPr>
          <w:color w:val="7030a0"/>
          <w:rtl w:val="0"/>
        </w:rPr>
        <w:t xml:space="preserve">A2023/1634-SP/PC</w:t>
      </w:r>
      <w:r w:rsidDel="00000000" w:rsidR="00000000" w:rsidRPr="00000000">
        <w:rPr>
          <w:rFonts w:ascii="Arial" w:cs="Arial" w:eastAsia="Arial" w:hAnsi="Arial"/>
          <w:i w:val="1"/>
          <w:iCs w:val="1"/>
          <w:color w:val="7030a0"/>
          <w:sz w:val="24"/>
          <w:szCs w:val="24"/>
          <w:rtl w:val="0"/>
        </w:rPr>
        <w:t xml:space="preserve"> (8. hodin) kombinovaná forma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b w:val="1"/>
          <w:bCs w:val="1"/>
          <w:color w:val="4472c4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4472c4"/>
          <w:sz w:val="24"/>
          <w:szCs w:val="24"/>
          <w:rtl w:val="0"/>
        </w:rPr>
        <w:t xml:space="preserve">akreditace MVČR</w:t>
      </w:r>
      <w:r w:rsidDel="00000000" w:rsidR="00000000" w:rsidRPr="00000000">
        <w:rPr>
          <w:rFonts w:ascii="Arial" w:cs="Arial" w:eastAsia="Arial" w:hAnsi="Arial"/>
          <w:color w:val="4472c4"/>
          <w:sz w:val="24"/>
          <w:szCs w:val="24"/>
          <w:rtl w:val="0"/>
        </w:rPr>
        <w:t xml:space="preserve">: „</w:t>
      </w:r>
      <w:r w:rsidDel="00000000" w:rsidR="00000000" w:rsidRPr="00000000">
        <w:rPr>
          <w:b w:val="1"/>
          <w:bCs w:val="1"/>
          <w:color w:val="4472c4"/>
          <w:sz w:val="24"/>
          <w:szCs w:val="24"/>
          <w:rtl w:val="0"/>
        </w:rPr>
        <w:t xml:space="preserve">Vybraná témata problematiky domácího násilí – děti jako osoby ohrožené domácím násilím</w:t>
      </w:r>
      <w:r w:rsidDel="00000000" w:rsidR="00000000" w:rsidRPr="00000000">
        <w:rPr>
          <w:color w:val="4472c4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4472c4"/>
          <w:sz w:val="24"/>
          <w:szCs w:val="24"/>
          <w:rtl w:val="0"/>
        </w:rPr>
        <w:t xml:space="preserve">(videokurz)</w:t>
      </w:r>
      <w:r w:rsidDel="00000000" w:rsidR="00000000" w:rsidRPr="00000000">
        <w:rPr>
          <w:rFonts w:ascii="Arial" w:cs="Arial" w:eastAsia="Arial" w:hAnsi="Arial"/>
          <w:color w:val="4472c4"/>
          <w:sz w:val="24"/>
          <w:szCs w:val="24"/>
          <w:rtl w:val="0"/>
        </w:rPr>
        <w:t xml:space="preserve">“</w:t>
      </w:r>
      <w:r w:rsidDel="00000000" w:rsidR="00000000" w:rsidRPr="00000000">
        <w:rPr>
          <w:color w:val="4472c4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4472c4"/>
          <w:sz w:val="24"/>
          <w:szCs w:val="24"/>
          <w:rtl w:val="0"/>
        </w:rPr>
        <w:t xml:space="preserve">(program vypracovaný dle zákona č. 312/2002 Sb., o úřednících ÚSC v aktuálním znění. (8 hodin) 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4472c4"/>
          <w:sz w:val="24"/>
          <w:szCs w:val="24"/>
          <w:rtl w:val="0"/>
        </w:rPr>
        <w:t xml:space="preserve">Akreditace vzdělávací instituce AK/I-53/2017</w:t>
      </w:r>
      <w:r w:rsidDel="00000000" w:rsidR="00000000" w:rsidRPr="00000000">
        <w:rPr>
          <w:rtl w:val="0"/>
        </w:rPr>
      </w:r>
    </w:p>
    <w:tbl>
      <w:tblPr>
        <w:tblStyle w:val="Table2"/>
        <w:tblW w:w="10708.0" w:type="dxa"/>
        <w:jc w:val="left"/>
        <w:tblInd w:w="15.0" w:type="dxa"/>
        <w:tblLayout w:type="fixed"/>
        <w:tblLook w:val="0400"/>
      </w:tblPr>
      <w:tblGrid>
        <w:gridCol w:w="3513"/>
        <w:gridCol w:w="7195"/>
        <w:tblGridChange w:id="0">
          <w:tblGrid>
            <w:gridCol w:w="3513"/>
            <w:gridCol w:w="7195"/>
          </w:tblGrid>
        </w:tblGridChange>
      </w:tblGrid>
      <w:tr>
        <w:trPr>
          <w:cantSplit w:val="0"/>
          <w:trHeight w:val="642" w:hRule="atLeast"/>
          <w:tblHeader w:val="0"/>
        </w:trPr>
        <w:tc>
          <w:tcPr>
            <w:gridSpan w:val="2"/>
            <w:tcBorders>
              <w:left w:color="000000" w:space="0" w:sz="0" w:val="nil"/>
              <w:right w:color="000000" w:space="0" w:sz="0" w:val="nil"/>
            </w:tcBorders>
            <w:shd w:fill="00a4de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8"/>
                <w:szCs w:val="28"/>
                <w:rtl w:val="0"/>
              </w:rPr>
              <w:t xml:space="preserve">Vybraná témata problematiky domácího násilí – děti jako osoby ohrožené domácím násilím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8"/>
                <w:szCs w:val="28"/>
                <w:rtl w:val="0"/>
              </w:rPr>
              <w:t xml:space="preserve">(videokurz)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7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Akreditace: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shd w:fill="ffffff" w:val="clear"/>
              <w:spacing w:after="0" w:before="40" w:line="240" w:lineRule="auto"/>
              <w:ind w:right="720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7030a0"/>
                <w:sz w:val="24"/>
                <w:szCs w:val="24"/>
                <w:rtl w:val="0"/>
              </w:rPr>
              <w:t xml:space="preserve">MPSV: </w:t>
            </w:r>
            <w:r w:rsidDel="00000000" w:rsidR="00000000" w:rsidRPr="00000000">
              <w:rPr>
                <w:color w:val="7030a0"/>
                <w:sz w:val="24"/>
                <w:szCs w:val="24"/>
                <w:rtl w:val="0"/>
              </w:rPr>
              <w:t xml:space="preserve">A2023/1634-SP/PC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7030a0"/>
                <w:sz w:val="24"/>
                <w:szCs w:val="24"/>
                <w:rtl w:val="0"/>
              </w:rPr>
              <w:t xml:space="preserve"> (8. hodin) online </w:t>
            </w:r>
            <w:r w:rsidDel="00000000" w:rsidR="00000000" w:rsidRPr="00000000">
              <w:rPr>
                <w:rFonts w:ascii="Calibri" w:cs="Calibri" w:eastAsia="Calibri" w:hAnsi="Calibri"/>
                <w:color w:val="7030a0"/>
                <w:sz w:val="24"/>
                <w:szCs w:val="24"/>
                <w:rtl w:val="0"/>
              </w:rPr>
              <w:br w:type="textWrapping"/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333399"/>
                <w:sz w:val="20"/>
                <w:szCs w:val="20"/>
                <w:rtl w:val="0"/>
              </w:rPr>
              <w:t xml:space="preserve">MVČR: </w:t>
            </w:r>
            <w:r w:rsidDel="00000000" w:rsidR="00000000" w:rsidRPr="00000000">
              <w:rPr>
                <w:rFonts w:ascii="Calibri" w:cs="Calibri" w:eastAsia="Calibri" w:hAnsi="Calibri"/>
                <w:color w:val="4472c4"/>
                <w:rtl w:val="0"/>
              </w:rPr>
              <w:t xml:space="preserve">(program vypracovaný dle zákona č. 312/2002 Sb., o úřednících ÚSC v aktuálním znění. (8 hodin)) Akreditace vzdělávací instituce AK/I-53/2017 (videokurz)</w:t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Variabilní symbol: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spacing w:after="0" w:line="240" w:lineRule="auto"/>
              <w:rPr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202601258</w:t>
            </w:r>
          </w:p>
        </w:tc>
      </w:tr>
      <w:tr>
        <w:trPr>
          <w:cantSplit w:val="0"/>
          <w:trHeight w:val="590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Přednáší: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PhDr., Mgr.</w:t>
            </w:r>
            <w:r w:rsidDel="00000000" w:rsidR="00000000" w:rsidRPr="00000000">
              <w:rPr>
                <w:color w:val="000080"/>
                <w:sz w:val="24"/>
                <w:szCs w:val="24"/>
                <w:rtl w:val="0"/>
              </w:rPr>
              <w:t xml:space="preserve"> </w:t>
            </w: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Lucie Paprsteinová </w:t>
            </w:r>
            <w:r w:rsidDel="00000000" w:rsidR="00000000" w:rsidRPr="00000000">
              <w:rPr>
                <w:color w:val="000080"/>
                <w:sz w:val="24"/>
                <w:szCs w:val="24"/>
                <w:rtl w:val="0"/>
              </w:rPr>
              <w:t xml:space="preserve">–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 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Bílý kruh bezpečí Ostrava, od roku 2008 dosud-vedoucí sociální služby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. Zkušená lektorka.</w:t>
            </w:r>
          </w:p>
        </w:tc>
      </w:tr>
      <w:tr>
        <w:trPr>
          <w:cantSplit w:val="0"/>
          <w:trHeight w:val="275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Termín konání: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2060"/>
                <w:sz w:val="24"/>
                <w:szCs w:val="24"/>
                <w:rtl w:val="0"/>
              </w:rPr>
              <w:t xml:space="preserve">10.12. 2026 (čtvrtek) od 8,00 hod.</w:t>
            </w:r>
            <w:r w:rsidDel="00000000" w:rsidR="00000000" w:rsidRPr="00000000">
              <w:rPr>
                <w:color w:val="002060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(prezence od 7,30hod – 8,00 hod.)</w:t>
              <w:br w:type="textWrapping"/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Místo konání: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spacing w:after="0" w:line="240" w:lineRule="auto"/>
              <w:rPr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ON-LINE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Cena: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spacing w:after="0" w:line="240" w:lineRule="auto"/>
              <w:rPr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c00000"/>
                <w:sz w:val="24"/>
                <w:szCs w:val="24"/>
                <w:rtl w:val="0"/>
              </w:rPr>
              <w:t xml:space="preserve">1 990 Kč / osoba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Organizace: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spacing w:after="0" w:line="240" w:lineRule="auto"/>
              <w:rPr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2060"/>
                <w:sz w:val="24"/>
                <w:szCs w:val="24"/>
                <w:rtl w:val="0"/>
              </w:rPr>
              <w:t xml:space="preserve">TOP. Semináře s.r.o.  IČ: 06546897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6">
      <w:pPr>
        <w:tabs>
          <w:tab w:val="left" w:leader="none" w:pos="10195"/>
        </w:tabs>
        <w:spacing w:after="0" w:before="40" w:line="240" w:lineRule="auto"/>
        <w:ind w:right="-11"/>
        <w:jc w:val="both"/>
        <w:rPr>
          <w:rFonts w:ascii="Arial" w:cs="Arial" w:eastAsia="Arial" w:hAnsi="Arial"/>
          <w:b w:val="1"/>
          <w:bCs w:val="1"/>
          <w:color w:val="00b0f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Anotace</w:t>
      </w:r>
    </w:p>
    <w:p w:rsidR="00000000" w:rsidDel="00000000" w:rsidP="00000000" w:rsidRDefault="00000000" w:rsidRPr="00000000" w14:paraId="00000029">
      <w:pPr>
        <w:jc w:val="both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Na úvod kurzu budou zopakovány základy problematiky domácího násilí a dojde na informace stran tématu "děti jako osoby ohrožené domácím násilím". V další části kurzu bude přednes lektorky zaměřen na dopady domácího násilí na dítě v důsledku vývojového stádia. Rozbor konkrétních případů domácího násilí na dětech je pak náplní dalšího bloku semináře. V nosném závěrečném oddíle semináře pak dojde na informace, jak získat pomoc pro dětské oběti domácího násilí. V úplném závěru proběhne stručné shrnutí a posluchači budou mít prostor na dotazy k tématu.</w:t>
      </w:r>
    </w:p>
    <w:p w:rsidR="00000000" w:rsidDel="00000000" w:rsidP="00000000" w:rsidRDefault="00000000" w:rsidRPr="00000000" w14:paraId="0000002A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>
          <w:b w:val="1"/>
          <w:bCs w:val="1"/>
          <w:sz w:val="28"/>
          <w:szCs w:val="28"/>
        </w:rPr>
      </w:pPr>
      <w:bookmarkStart w:colFirst="0" w:colLast="0" w:name="_6q3fs9ld5tov" w:id="0"/>
      <w:bookmarkEnd w:id="0"/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Cílové kompetence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Absolventi na úvod kurzu doplní svoje znalosti o základy problematiky domácího násilí 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Absolventi upevní své poznání v oblasti "děti jako osoby ohrožené domácím násilím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Absolventi doplní svoje vědomosti o dopady domácího násilí na dítě v důsledku vývojového stádia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Absolventi obnoví svoje zkušenosti po rozboru konkrétních případů domácího násilí na dětech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Absolventi doplní svoje znalosti o informace, jak získat pomoc pro dětské oběti domácího násilí</w:t>
      </w:r>
    </w:p>
    <w:p w:rsidR="00000000" w:rsidDel="00000000" w:rsidP="00000000" w:rsidRDefault="00000000" w:rsidRPr="00000000" w14:paraId="00000031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0" w:before="40" w:line="240" w:lineRule="auto"/>
        <w:ind w:right="720"/>
        <w:rPr>
          <w:i w:val="1"/>
          <w:iCs w:val="1"/>
          <w:color w:val="00b0f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0" w:before="40" w:line="240" w:lineRule="auto"/>
        <w:ind w:right="720"/>
        <w:rPr>
          <w:i w:val="1"/>
          <w:iCs w:val="1"/>
          <w:color w:val="00b0f0"/>
          <w:sz w:val="20"/>
          <w:szCs w:val="20"/>
        </w:rPr>
      </w:pPr>
      <w:r w:rsidDel="00000000" w:rsidR="00000000" w:rsidRPr="00000000">
        <w:rPr>
          <w:i w:val="1"/>
          <w:iCs w:val="1"/>
          <w:color w:val="00b0f0"/>
          <w:sz w:val="20"/>
          <w:szCs w:val="20"/>
          <w:rtl w:val="0"/>
        </w:rPr>
        <w:t xml:space="preserve">Součástí ceny je osvědčení o absolvování semináře, materiály k tématu v elektronické podobě. </w:t>
      </w:r>
    </w:p>
    <w:p w:rsidR="00000000" w:rsidDel="00000000" w:rsidP="00000000" w:rsidRDefault="00000000" w:rsidRPr="00000000" w14:paraId="00000034">
      <w:pPr>
        <w:spacing w:after="0" w:before="40" w:line="240" w:lineRule="auto"/>
        <w:ind w:right="720"/>
        <w:rPr>
          <w:b w:val="1"/>
          <w:bCs w:val="1"/>
          <w:color w:val="00b0f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0" w:before="40" w:line="240" w:lineRule="auto"/>
        <w:ind w:right="720"/>
        <w:rPr>
          <w:i w:val="1"/>
          <w:iCs w:val="1"/>
          <w:color w:val="00b0f0"/>
          <w:sz w:val="20"/>
          <w:szCs w:val="20"/>
        </w:rPr>
      </w:pPr>
      <w:r w:rsidDel="00000000" w:rsidR="00000000" w:rsidRPr="00000000">
        <w:rPr>
          <w:b w:val="1"/>
          <w:bCs w:val="1"/>
          <w:color w:val="00b0f0"/>
          <w:sz w:val="20"/>
          <w:szCs w:val="20"/>
          <w:rtl w:val="0"/>
        </w:rPr>
        <w:t xml:space="preserve">Jak se přihlásit: 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0" w:before="40" w:line="240" w:lineRule="auto"/>
        <w:ind w:right="-153"/>
        <w:rPr>
          <w:b w:val="1"/>
          <w:bCs w:val="1"/>
          <w:color w:val="595959"/>
          <w:sz w:val="20"/>
          <w:szCs w:val="20"/>
        </w:rPr>
      </w:pPr>
      <w:r w:rsidDel="00000000" w:rsidR="00000000" w:rsidRPr="00000000">
        <w:rPr>
          <w:color w:val="595959"/>
          <w:sz w:val="20"/>
          <w:szCs w:val="20"/>
          <w:rtl w:val="0"/>
        </w:rPr>
        <w:t xml:space="preserve">Zaplaťte účastnický poplatek a vyplňte přihlašovací formulář, prostřednictvím našich webových stránek </w:t>
      </w:r>
      <w:hyperlink r:id="rId8">
        <w:r w:rsidDel="00000000" w:rsidR="00000000" w:rsidRPr="00000000">
          <w:rPr>
            <w:color w:val="0000ff"/>
            <w:sz w:val="20"/>
            <w:szCs w:val="20"/>
            <w:u w:val="single"/>
            <w:rtl w:val="0"/>
          </w:rPr>
          <w:t xml:space="preserve">www.topseminare.cz</w:t>
        </w:r>
      </w:hyperlink>
      <w:r w:rsidDel="00000000" w:rsidR="00000000" w:rsidRPr="00000000">
        <w:rPr>
          <w:color w:val="595959"/>
          <w:sz w:val="20"/>
          <w:szCs w:val="20"/>
          <w:rtl w:val="0"/>
        </w:rPr>
        <w:t xml:space="preserve"> .</w:t>
      </w:r>
      <w:r w:rsidDel="00000000" w:rsidR="00000000" w:rsidRPr="00000000">
        <w:rPr>
          <w:b w:val="1"/>
          <w:bCs w:val="1"/>
          <w:color w:val="595959"/>
          <w:sz w:val="20"/>
          <w:szCs w:val="20"/>
          <w:rtl w:val="0"/>
        </w:rPr>
        <w:t xml:space="preserve"> Úředníci ÚSC mohou realizovat platbu za seminář až po obdržení faktury po semináři</w:t>
      </w:r>
      <w:r w:rsidDel="00000000" w:rsidR="00000000" w:rsidRPr="00000000">
        <w:rPr>
          <w:color w:val="595959"/>
          <w:sz w:val="20"/>
          <w:szCs w:val="20"/>
          <w:rtl w:val="0"/>
        </w:rPr>
        <w:t xml:space="preserve">. Nejasnosti a dotazy rádi vyřídíme telefonicky či emailem (kontakty viz výše nebo na webových stránkách). </w:t>
      </w:r>
      <w:r w:rsidDel="00000000" w:rsidR="00000000" w:rsidRPr="00000000">
        <w:rPr>
          <w:b w:val="1"/>
          <w:bCs w:val="1"/>
          <w:color w:val="595959"/>
          <w:sz w:val="20"/>
          <w:szCs w:val="20"/>
          <w:rtl w:val="0"/>
        </w:rPr>
        <w:t xml:space="preserve">Ve lhůtě tři dny a méně před konáním akce není možné zrušit účast na semináři. Kdykoli je možné nahlásit náhradníka na </w:t>
      </w:r>
      <w:hyperlink r:id="rId9">
        <w:r w:rsidDel="00000000" w:rsidR="00000000" w:rsidRPr="00000000">
          <w:rPr>
            <w:b w:val="1"/>
            <w:bCs w:val="1"/>
            <w:color w:val="0000ff"/>
            <w:sz w:val="20"/>
            <w:szCs w:val="20"/>
            <w:u w:val="single"/>
            <w:rtl w:val="0"/>
          </w:rPr>
          <w:t xml:space="preserve">info@topseminare.cz</w:t>
        </w:r>
      </w:hyperlink>
      <w:r w:rsidDel="00000000" w:rsidR="00000000" w:rsidRPr="00000000">
        <w:rPr>
          <w:b w:val="1"/>
          <w:bCs w:val="1"/>
          <w:color w:val="595959"/>
          <w:sz w:val="20"/>
          <w:szCs w:val="20"/>
          <w:rtl w:val="0"/>
        </w:rPr>
        <w:t xml:space="preserve">. </w:t>
      </w:r>
    </w:p>
    <w:p w:rsidR="00000000" w:rsidDel="00000000" w:rsidP="00000000" w:rsidRDefault="00000000" w:rsidRPr="00000000" w14:paraId="00000037">
      <w:pPr>
        <w:spacing w:after="0" w:before="40" w:line="240" w:lineRule="auto"/>
        <w:ind w:left="720" w:right="-153" w:firstLine="0"/>
        <w:jc w:val="both"/>
        <w:rPr>
          <w:b w:val="1"/>
          <w:bCs w:val="1"/>
          <w:color w:val="00b0f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0" w:before="40" w:line="240" w:lineRule="auto"/>
        <w:ind w:right="-153"/>
        <w:rPr>
          <w:b w:val="1"/>
          <w:bCs w:val="1"/>
          <w:color w:val="00b0f0"/>
          <w:sz w:val="20"/>
          <w:szCs w:val="20"/>
        </w:rPr>
      </w:pPr>
      <w:r w:rsidDel="00000000" w:rsidR="00000000" w:rsidRPr="00000000">
        <w:rPr>
          <w:b w:val="1"/>
          <w:bCs w:val="1"/>
          <w:color w:val="00b0f0"/>
          <w:sz w:val="20"/>
          <w:szCs w:val="20"/>
          <w:rtl w:val="0"/>
        </w:rPr>
        <w:t xml:space="preserve">Zaplacení a smluvní podmínky: </w:t>
      </w:r>
    </w:p>
    <w:p w:rsidR="00000000" w:rsidDel="00000000" w:rsidP="00000000" w:rsidRDefault="00000000" w:rsidRPr="00000000" w14:paraId="00000039">
      <w:pPr>
        <w:spacing w:after="0" w:before="40" w:line="240" w:lineRule="auto"/>
        <w:ind w:right="-11"/>
        <w:jc w:val="both"/>
        <w:rPr>
          <w:color w:val="595959"/>
          <w:sz w:val="20"/>
          <w:szCs w:val="20"/>
        </w:rPr>
      </w:pPr>
      <w:r w:rsidDel="00000000" w:rsidR="00000000" w:rsidRPr="00000000">
        <w:rPr>
          <w:color w:val="595959"/>
          <w:sz w:val="20"/>
          <w:szCs w:val="20"/>
          <w:rtl w:val="0"/>
        </w:rPr>
        <w:t xml:space="preserve">Úhradu semináře proveďte na náš </w:t>
      </w:r>
      <w:r w:rsidDel="00000000" w:rsidR="00000000" w:rsidRPr="00000000">
        <w:rPr>
          <w:b w:val="1"/>
          <w:bCs w:val="1"/>
          <w:i w:val="1"/>
          <w:iCs w:val="1"/>
          <w:color w:val="ff0000"/>
          <w:sz w:val="20"/>
          <w:szCs w:val="20"/>
          <w:rtl w:val="0"/>
        </w:rPr>
        <w:t xml:space="preserve">účet č. 5000500032/5500 Raiffeisen Bank</w:t>
      </w:r>
      <w:r w:rsidDel="00000000" w:rsidR="00000000" w:rsidRPr="00000000">
        <w:rPr>
          <w:color w:val="595959"/>
          <w:sz w:val="20"/>
          <w:szCs w:val="20"/>
          <w:rtl w:val="0"/>
        </w:rPr>
        <w:t xml:space="preserve">, neopomeňte uvést správný variabilní symbol. Daňový doklad obdrží účastníci v den konání semináře. V případě neúčasti se vložné nevrací, ale je možné poslat náhradníka. </w:t>
      </w:r>
    </w:p>
    <w:p w:rsidR="00000000" w:rsidDel="00000000" w:rsidP="00000000" w:rsidRDefault="00000000" w:rsidRPr="00000000" w14:paraId="0000003A">
      <w:pPr>
        <w:spacing w:after="0" w:before="40" w:line="240" w:lineRule="auto"/>
        <w:ind w:left="720" w:right="720" w:firstLine="0"/>
        <w:jc w:val="both"/>
        <w:rPr>
          <w:rFonts w:ascii="Arial" w:cs="Arial" w:eastAsia="Arial" w:hAnsi="Arial"/>
          <w:i w:val="1"/>
          <w:iCs w:val="1"/>
          <w:color w:val="00b0f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0" w:before="40" w:line="240" w:lineRule="auto"/>
        <w:ind w:left="720" w:right="720" w:firstLine="0"/>
        <w:jc w:val="both"/>
        <w:rPr>
          <w:rFonts w:ascii="Times New Roman" w:cs="Times New Roman" w:eastAsia="Times New Roman" w:hAnsi="Times New Roman"/>
          <w:b w:val="1"/>
          <w:bCs w:val="1"/>
          <w:color w:val="59595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360" w:before="40" w:line="240" w:lineRule="auto"/>
        <w:ind w:left="720" w:right="720" w:firstLine="0"/>
        <w:rPr>
          <w:rFonts w:ascii="Twentieth Century" w:cs="Twentieth Century" w:eastAsia="Twentieth Century" w:hAnsi="Twentieth Century"/>
          <w:color w:val="595959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10" w:type="default"/>
      <w:headerReference r:id="rId11" w:type="first"/>
      <w:headerReference r:id="rId12" w:type="even"/>
      <w:footerReference r:id="rId13" w:type="default"/>
      <w:footerReference r:id="rId14" w:type="first"/>
      <w:footerReference r:id="rId15" w:type="even"/>
      <w:pgSz w:h="16838" w:w="11906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  <w:font w:name="Trebuchet MS"/>
  <w:font w:name="Courier New"/>
  <w:font w:name="Twentieth Century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cs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3.xml"/><Relationship Id="rId10" Type="http://schemas.openxmlformats.org/officeDocument/2006/relationships/header" Target="header2.xml"/><Relationship Id="rId13" Type="http://schemas.openxmlformats.org/officeDocument/2006/relationships/footer" Target="footer2.xml"/><Relationship Id="rId12" Type="http://schemas.openxmlformats.org/officeDocument/2006/relationships/header" Target="head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info@topseminare.cz" TargetMode="External"/><Relationship Id="rId15" Type="http://schemas.openxmlformats.org/officeDocument/2006/relationships/footer" Target="footer1.xml"/><Relationship Id="rId14" Type="http://schemas.openxmlformats.org/officeDocument/2006/relationships/footer" Target="footer3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1.png"/><Relationship Id="rId8" Type="http://schemas.openxmlformats.org/officeDocument/2006/relationships/hyperlink" Target="http://www.topseminare.cz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