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22300" y="2709375"/>
                          <a:ext cx="8247380" cy="2141220"/>
                          <a:chOff x="1222300" y="2709375"/>
                          <a:chExt cx="8247375" cy="2141250"/>
                        </a:xfrm>
                      </wpg:grpSpPr>
                      <wpg:grpSp>
                        <wpg:cNvGrpSpPr/>
                        <wpg:grpSpPr>
                          <a:xfrm>
                            <a:off x="1222310" y="2709390"/>
                            <a:ext cx="8247380" cy="2141220"/>
                            <a:chOff x="-7144" y="-7144"/>
                            <a:chExt cx="6005513" cy="19240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-7144" y="-7144"/>
                              <a:ext cx="6005500" cy="1924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2121694" y="-7144"/>
                              <a:ext cx="3876675" cy="1762125"/>
                            </a:xfrm>
                            <a:custGeom>
                              <a:rect b="b" l="l" r="r" t="t"/>
                              <a:pathLst>
                                <a:path extrusionOk="0" h="1762125" w="3876675">
                                  <a:moveTo>
                                    <a:pt x="3869531" y="1359694"/>
                                  </a:moveTo>
                                  <a:cubicBezTo>
                                    <a:pt x="3869531" y="1359694"/>
                                    <a:pt x="3379946" y="1834039"/>
                                    <a:pt x="2359819" y="1744504"/>
                                  </a:cubicBezTo>
                                  <a:cubicBezTo>
                                    <a:pt x="1339691" y="1654969"/>
                                    <a:pt x="936784" y="1180624"/>
                                    <a:pt x="7144" y="1287304"/>
                                  </a:cubicBezTo>
                                  <a:lnTo>
                                    <a:pt x="7144" y="7144"/>
                                  </a:lnTo>
                                  <a:lnTo>
                                    <a:pt x="3869531" y="7144"/>
                                  </a:lnTo>
                                  <a:lnTo>
                                    <a:pt x="3869531" y="13596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683C6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-7144" y="-7144"/>
                              <a:ext cx="6000750" cy="1924050"/>
                            </a:xfrm>
                            <a:custGeom>
                              <a:rect b="b" l="l" r="r" t="t"/>
                              <a:pathLst>
                                <a:path extrusionOk="0" h="1924050" w="6000750">
                                  <a:moveTo>
                                    <a:pt x="7144" y="1699736"/>
                                  </a:moveTo>
                                  <a:cubicBezTo>
                                    <a:pt x="7144" y="1699736"/>
                                    <a:pt x="1410176" y="2317909"/>
                                    <a:pt x="2934176" y="1484471"/>
                                  </a:cubicBezTo>
                                  <a:cubicBezTo>
                                    <a:pt x="4459129" y="651986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lnTo>
                                    <a:pt x="7144" y="16997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ADE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-7144" y="-7144"/>
                              <a:ext cx="6000750" cy="904875"/>
                            </a:xfrm>
                            <a:custGeom>
                              <a:rect b="b" l="l" r="r" t="t"/>
                              <a:pathLst>
                                <a:path extrusionOk="0" h="904875" w="6000750">
                                  <a:moveTo>
                                    <a:pt x="7144" y="7144"/>
                                  </a:moveTo>
                                  <a:lnTo>
                                    <a:pt x="7144" y="613886"/>
                                  </a:lnTo>
                                  <a:cubicBezTo>
                                    <a:pt x="647224" y="1034891"/>
                                    <a:pt x="2136934" y="964406"/>
                                    <a:pt x="3546634" y="574834"/>
                                  </a:cubicBezTo>
                                  <a:cubicBezTo>
                                    <a:pt x="4882039" y="205264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1CADE4"/>
                                </a:gs>
                                <a:gs pos="100000">
                                  <a:srgbClr val="75CEEF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3176111" y="924401"/>
                              <a:ext cx="2819400" cy="828675"/>
                            </a:xfrm>
                            <a:custGeom>
                              <a:rect b="b" l="l" r="r" t="t"/>
                              <a:pathLst>
                                <a:path extrusionOk="0" h="828675" w="2819400">
                                  <a:moveTo>
                                    <a:pt x="7144" y="481489"/>
                                  </a:moveTo>
                                  <a:cubicBezTo>
                                    <a:pt x="380524" y="602456"/>
                                    <a:pt x="751999" y="764381"/>
                                    <a:pt x="1305401" y="812959"/>
                                  </a:cubicBezTo>
                                  <a:cubicBezTo>
                                    <a:pt x="2325529" y="902494"/>
                                    <a:pt x="2815114" y="428149"/>
                                    <a:pt x="2815114" y="428149"/>
                                  </a:cubicBezTo>
                                  <a:lnTo>
                                    <a:pt x="2815114" y="7144"/>
                                  </a:lnTo>
                                  <a:cubicBezTo>
                                    <a:pt x="2332196" y="236696"/>
                                    <a:pt x="1376839" y="568166"/>
                                    <a:pt x="7144" y="481489"/>
                                  </a:cubicBez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2683C6"/>
                                </a:gs>
                                <a:gs pos="100000">
                                  <a:srgbClr val="1C6294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380" cy="2141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790.0" w:type="dxa"/>
        <w:jc w:val="center"/>
        <w:tblLayout w:type="fixed"/>
        <w:tblLook w:val="0600"/>
      </w:tblPr>
      <w:tblGrid>
        <w:gridCol w:w="10790"/>
        <w:tblGridChange w:id="0">
          <w:tblGrid>
            <w:gridCol w:w="10790"/>
          </w:tblGrid>
        </w:tblGridChange>
      </w:tblGrid>
      <w:tr>
        <w:trPr>
          <w:cantSplit w:val="0"/>
          <w:trHeight w:val="8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720"/>
              <w:rPr>
                <w:rFonts w:ascii="Twentieth Century" w:cs="Twentieth Century" w:eastAsia="Twentieth Century" w:hAnsi="Twentieth Century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4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TOP Semináře s.r.o.,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Vzdělávací agentura</w:t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Akreditace programů MPSV </w:t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Akreditovaná vzdělávací instituce MVČR AK/I-53/2017</w:t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125"/>
                <w:tab w:val="left" w:leader="none" w:pos="1800"/>
                <w:tab w:val="center" w:leader="none" w:pos="5097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Zátiší 476/12, Ostrava – Svinov, 721 00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6156960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74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9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IČ: 06546897 </w:t>
            </w:r>
          </w:p>
          <w:p w:rsidR="00000000" w:rsidDel="00000000" w:rsidP="00000000" w:rsidRDefault="00000000" w:rsidRPr="00000000" w14:paraId="0000000A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Mobil:602 707 481, E-mail: info@topseminare.cz</w:t>
            </w:r>
          </w:p>
          <w:p w:rsidR="00000000" w:rsidDel="00000000" w:rsidP="00000000" w:rsidRDefault="00000000" w:rsidRPr="00000000" w14:paraId="0000000B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více informací na: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www.topseminare.cz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40" w:before="840" w:line="240" w:lineRule="auto"/>
        <w:ind w:right="72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595959"/>
          <w:sz w:val="20"/>
          <w:szCs w:val="20"/>
          <w:rtl w:val="0"/>
        </w:rPr>
        <w:t xml:space="preserve">si Vás dovolujeme pozvat na seminář</w:t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color w:val="3366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b w:val="1"/>
          <w:bCs w:val="1"/>
          <w:color w:val="4472c4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36"/>
          <w:szCs w:val="36"/>
          <w:rtl w:val="0"/>
        </w:rPr>
        <w:t xml:space="preserve">„</w:t>
      </w:r>
      <w:r w:rsidDel="00000000" w:rsidR="00000000" w:rsidRPr="00000000">
        <w:rPr>
          <w:b w:val="1"/>
          <w:bCs w:val="1"/>
          <w:color w:val="4472c4"/>
          <w:sz w:val="36"/>
          <w:szCs w:val="36"/>
          <w:rtl w:val="0"/>
        </w:rPr>
        <w:t xml:space="preserve">Děti a mladiství jako oběti i pachatelé-vstup do problematiky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36"/>
          <w:szCs w:val="36"/>
          <w:rtl w:val="0"/>
        </w:rPr>
        <w:t xml:space="preserve">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b w:val="1"/>
          <w:bCs w:val="1"/>
          <w:color w:val="44546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  <w:i w:val="0"/>
          <w:iCs w:val="0"/>
          <w:color w:val="7030a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Akreditace MPSV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: „</w:t>
      </w:r>
      <w:r w:rsidDel="00000000" w:rsidR="00000000" w:rsidRPr="00000000">
        <w:rPr>
          <w:b w:val="1"/>
          <w:bCs w:val="1"/>
          <w:color w:val="7030a0"/>
          <w:sz w:val="24"/>
          <w:szCs w:val="24"/>
          <w:rtl w:val="0"/>
        </w:rPr>
        <w:t xml:space="preserve">Děti a mladiství jako oběti i pachatelé-vstup do problematiky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7030a0"/>
          <w:sz w:val="24"/>
          <w:szCs w:val="24"/>
          <w:rtl w:val="0"/>
        </w:rPr>
        <w:t xml:space="preserve">A2024/0268-SP</w:t>
      </w:r>
      <w:r w:rsidDel="00000000" w:rsidR="00000000" w:rsidRPr="00000000">
        <w:rPr>
          <w:rFonts w:ascii="Arial" w:cs="Arial" w:eastAsia="Arial" w:hAnsi="Arial"/>
          <w:i w:val="1"/>
          <w:iCs w:val="1"/>
          <w:color w:val="7030a0"/>
          <w:sz w:val="24"/>
          <w:szCs w:val="24"/>
          <w:rtl w:val="0"/>
        </w:rPr>
        <w:t xml:space="preserve"> (8. hodin) kombinovaná forma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color w:val="4472c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rtl w:val="0"/>
        </w:rPr>
        <w:t xml:space="preserve">akreditace MVČR</w:t>
      </w:r>
      <w:r w:rsidDel="00000000" w:rsidR="00000000" w:rsidRPr="00000000">
        <w:rPr>
          <w:rFonts w:ascii="Arial" w:cs="Arial" w:eastAsia="Arial" w:hAnsi="Arial"/>
          <w:color w:val="4472c4"/>
          <w:rtl w:val="0"/>
        </w:rPr>
        <w:t xml:space="preserve">: „</w:t>
      </w:r>
      <w:r w:rsidDel="00000000" w:rsidR="00000000" w:rsidRPr="00000000">
        <w:rPr>
          <w:b w:val="1"/>
          <w:bCs w:val="1"/>
          <w:color w:val="4472c4"/>
          <w:rtl w:val="0"/>
        </w:rPr>
        <w:t xml:space="preserve">Děti a mladiství jako oběti i pachatelé-vstup do problematiky</w:t>
      </w:r>
      <w:r w:rsidDel="00000000" w:rsidR="00000000" w:rsidRPr="00000000">
        <w:rPr>
          <w:color w:val="4472c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rtl w:val="0"/>
        </w:rPr>
        <w:t xml:space="preserve">(videokurz)</w:t>
      </w:r>
      <w:r w:rsidDel="00000000" w:rsidR="00000000" w:rsidRPr="00000000">
        <w:rPr>
          <w:rFonts w:ascii="Arial" w:cs="Arial" w:eastAsia="Arial" w:hAnsi="Arial"/>
          <w:color w:val="4472c4"/>
          <w:rtl w:val="0"/>
        </w:rPr>
        <w:t xml:space="preserve">“</w:t>
      </w:r>
      <w:r w:rsidDel="00000000" w:rsidR="00000000" w:rsidRPr="00000000">
        <w:rPr>
          <w:color w:val="4472c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4472c4"/>
          <w:sz w:val="24"/>
          <w:szCs w:val="24"/>
          <w:rtl w:val="0"/>
        </w:rPr>
        <w:t xml:space="preserve">(program vypracovaný dle zákona č. 312/2002 Sb., o úřednících ÚSC v aktuálním znění. (8 hodin)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  <w:rtl w:val="0"/>
        </w:rPr>
        <w:t xml:space="preserve">Akreditace vzdělávací instituce AK/I-53/2017</w:t>
      </w:r>
      <w:r w:rsidDel="00000000" w:rsidR="00000000" w:rsidRPr="00000000">
        <w:rPr>
          <w:rtl w:val="0"/>
        </w:rPr>
      </w:r>
    </w:p>
    <w:tbl>
      <w:tblPr>
        <w:tblStyle w:val="Table2"/>
        <w:tblW w:w="10708.0" w:type="dxa"/>
        <w:jc w:val="left"/>
        <w:tblInd w:w="15.0" w:type="dxa"/>
        <w:tblLayout w:type="fixed"/>
        <w:tblLook w:val="0400"/>
      </w:tblPr>
      <w:tblGrid>
        <w:gridCol w:w="3513"/>
        <w:gridCol w:w="7195"/>
        <w:tblGridChange w:id="0">
          <w:tblGrid>
            <w:gridCol w:w="3513"/>
            <w:gridCol w:w="7195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00a4de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Děti a mladiství jako oběti i pachatelé-vstup do problematiky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(videokurz)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Akreditace: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hd w:fill="ffffff" w:val="clear"/>
              <w:spacing w:after="0" w:before="40" w:line="240" w:lineRule="auto"/>
              <w:ind w:right="72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MPSV: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A2024/0268-SP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030a0"/>
                <w:sz w:val="24"/>
                <w:szCs w:val="24"/>
                <w:rtl w:val="0"/>
              </w:rPr>
              <w:t xml:space="preserve"> (8. hodin) online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99"/>
                <w:sz w:val="20"/>
                <w:szCs w:val="20"/>
                <w:rtl w:val="0"/>
              </w:rPr>
              <w:t xml:space="preserve">MVČR: </w:t>
            </w:r>
            <w:r w:rsidDel="00000000" w:rsidR="00000000" w:rsidRPr="00000000">
              <w:rPr>
                <w:rFonts w:ascii="Calibri" w:cs="Calibri" w:eastAsia="Calibri" w:hAnsi="Calibri"/>
                <w:color w:val="4472c4"/>
                <w:rtl w:val="0"/>
              </w:rPr>
              <w:t xml:space="preserve">(program vypracovaný dle zákona č. 312/2002 Sb., o úřednících ÚSC v aktuálním znění. (8 hodin)) Akreditace vzdělávací instituce AK/I-53/2017 (videokurz)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Variabilní symbol: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202601253</w:t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Přednáší: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PhDr. Ludmila Mrkvicová-</w:t>
            </w:r>
            <w:r w:rsidDel="00000000" w:rsidR="00000000" w:rsidRPr="00000000">
              <w:rPr>
                <w:rtl w:val="0"/>
              </w:rPr>
              <w:t xml:space="preserve">klinický psycholog, soukromá psychologická praxe, soudní znalec, zkušený lektor v oboru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Termín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8.12. 2026 (úterý) od 8,00 hod.</w:t>
            </w:r>
            <w:r w:rsidDel="00000000" w:rsidR="00000000" w:rsidRPr="00000000">
              <w:rPr>
                <w:color w:val="00206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(prezence od 7,30hod – 8,00 hod.)</w:t>
              <w:br w:type="textWrapping"/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Místo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ON-LINE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1 990 Kč / 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TOP. Semináře s.r.o.  IČ: 06546897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Anotace</w:t>
      </w:r>
    </w:p>
    <w:p w:rsidR="00000000" w:rsidDel="00000000" w:rsidP="00000000" w:rsidRDefault="00000000" w:rsidRPr="00000000" w14:paraId="0000002A">
      <w:pPr>
        <w:jc w:val="both"/>
        <w:rPr>
          <w:b w:val="1"/>
          <w:bCs w:val="1"/>
          <w:sz w:val="28"/>
          <w:szCs w:val="28"/>
        </w:rPr>
      </w:pPr>
      <w:bookmarkStart w:colFirst="0" w:colLast="0" w:name="_twgsk2ajj9l4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Úvod kurzu je věnován základním pojmům pojícím se k tématu a zejména pak legislativní úpravě ohroženého dítěte. V další části kurzu dojde na poruchy chování dětí a mladistvých. Probrány budou jak vlivy v rámci rodiny, tak i vlivy ostatní. V dalším pokračování semináře přijde řada na děti a mladistvé jako oběti. Zaměření této části školení je zejména na oblast šikany, kyberšikany, domácího násilí, znásilnění a další závažné trestné činnosti páchané na dětech a mladistvých. Rovněž prevence orgánů státní správy je součástí tohoto bloku. V části následující bude probrána naopak role dětí a mladistvých jako pachatelů. V tomto bloku dojde na nevhodné chování doma i ve škole, zaměřena bude rovněž agresivita, násilí a trestné činy páchané dětmi a mladistvými. Poruchy chování a prevence orgánů státní správy pak tento blok završí. Po závěrečném shrnutí dojde na dotazy posluchačů.</w:t>
      </w:r>
    </w:p>
    <w:p w:rsidR="00000000" w:rsidDel="00000000" w:rsidP="00000000" w:rsidRDefault="00000000" w:rsidRPr="00000000" w14:paraId="0000002B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Cílové kompetence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Posluchači doplňují svoje poznatky o zásadních vlivech rodin a okolí na poruchy chování dětí a mladistvých.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Posluchači obnovují svoje znalosti o nejvýznamnější rizika, která děti a mladistvé ohrožují (šikana, kyberšikana, domácí násilí, znásilnění apod.)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Posluchači rovněž v rámci kurzu upevňují svoje poznání o okolnostech, které významně ovlivňují chování dětí a mladistvých jako pachatelů.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Posluchačům doplňují informace o základních rysech nejčastějších poruch osobnosti, které se projevují již v dětském věku.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Posluchači rozumí prevenci orgánů státní správy ve zmiňovaných problematikách</w:t>
      </w:r>
    </w:p>
    <w:p w:rsidR="00000000" w:rsidDel="00000000" w:rsidP="00000000" w:rsidRDefault="00000000" w:rsidRPr="00000000" w14:paraId="0000003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i w:val="1"/>
          <w:iCs w:val="1"/>
          <w:color w:val="00b0f0"/>
          <w:sz w:val="20"/>
          <w:szCs w:val="20"/>
          <w:rtl w:val="0"/>
        </w:rPr>
        <w:t xml:space="preserve">Součástí ceny je osvědčení o absolvování semináře, materiály k tématu v elektronické podobě. </w:t>
      </w:r>
    </w:p>
    <w:p w:rsidR="00000000" w:rsidDel="00000000" w:rsidP="00000000" w:rsidRDefault="00000000" w:rsidRPr="00000000" w14:paraId="00000034">
      <w:pPr>
        <w:spacing w:after="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Jak se přihlásit: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before="40" w:line="240" w:lineRule="auto"/>
        <w:ind w:right="-153"/>
        <w:rPr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Zaplaťte účastnický poplatek a vyplňte přihlašovací formulář, prostřednictvím našich webových stránek </w:t>
      </w:r>
      <w:hyperlink r:id="rId8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www.topseminare.cz</w:t>
        </w:r>
      </w:hyperlink>
      <w:r w:rsidDel="00000000" w:rsidR="00000000" w:rsidRPr="00000000">
        <w:rPr>
          <w:color w:val="595959"/>
          <w:sz w:val="20"/>
          <w:szCs w:val="20"/>
          <w:rtl w:val="0"/>
        </w:rPr>
        <w:t xml:space="preserve"> .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 Úředníci ÚSC mohou realizovat platbu za seminář až po obdržení faktury po semináři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. Nejasnosti a dotazy rádi vyřídíme telefonicky či emailem (kontakty viz výše nebo na webových stránkách). </w:t>
      </w:r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Ve lhůtě tři dny a méně před konáním akce není možné zrušit účast na semináři. Kdykoli je možné nahlásit náhradníka na </w:t>
      </w:r>
      <w:hyperlink r:id="rId9">
        <w:r w:rsidDel="00000000" w:rsidR="00000000" w:rsidRPr="00000000">
          <w:rPr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info@topseminare.cz</w:t>
        </w:r>
      </w:hyperlink>
      <w:r w:rsidDel="00000000" w:rsidR="00000000" w:rsidRPr="00000000">
        <w:rPr>
          <w:b w:val="1"/>
          <w:bCs w:val="1"/>
          <w:color w:val="595959"/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36">
      <w:pPr>
        <w:spacing w:after="0" w:before="40" w:line="240" w:lineRule="auto"/>
        <w:ind w:left="720" w:right="-153" w:firstLine="0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before="40" w:line="240" w:lineRule="auto"/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Zaplacení a smluvní podmínky: </w:t>
      </w:r>
    </w:p>
    <w:p w:rsidR="00000000" w:rsidDel="00000000" w:rsidP="00000000" w:rsidRDefault="00000000" w:rsidRPr="00000000" w14:paraId="00000038">
      <w:pPr>
        <w:spacing w:after="0" w:before="40" w:line="240" w:lineRule="auto"/>
        <w:ind w:right="-11"/>
        <w:jc w:val="both"/>
        <w:rPr>
          <w:color w:val="595959"/>
          <w:sz w:val="20"/>
          <w:szCs w:val="20"/>
        </w:rPr>
      </w:pPr>
      <w:r w:rsidDel="00000000" w:rsidR="00000000" w:rsidRPr="00000000">
        <w:rPr>
          <w:color w:val="595959"/>
          <w:sz w:val="20"/>
          <w:szCs w:val="20"/>
          <w:rtl w:val="0"/>
        </w:rPr>
        <w:t xml:space="preserve">Úhradu semináře proveďte na náš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účet č. 5000500032/5500 Raiffeisen Bank</w:t>
      </w:r>
      <w:r w:rsidDel="00000000" w:rsidR="00000000" w:rsidRPr="00000000">
        <w:rPr>
          <w:color w:val="595959"/>
          <w:sz w:val="20"/>
          <w:szCs w:val="20"/>
          <w:rtl w:val="0"/>
        </w:rPr>
        <w:t xml:space="preserve">, neopomeňte uvést správný variabilní symbol. Daňový doklad obdrží účastníci v den konání semináře. V případě neúčasti se vložné nevrací, ale je možné poslat náhradníka. </w:t>
      </w:r>
    </w:p>
    <w:p w:rsidR="00000000" w:rsidDel="00000000" w:rsidP="00000000" w:rsidRDefault="00000000" w:rsidRPr="00000000" w14:paraId="00000039">
      <w:pPr>
        <w:spacing w:after="0" w:before="40" w:line="240" w:lineRule="auto"/>
        <w:ind w:left="720" w:right="720" w:firstLine="0"/>
        <w:jc w:val="both"/>
        <w:rPr>
          <w:rFonts w:ascii="Arial" w:cs="Arial" w:eastAsia="Arial" w:hAnsi="Arial"/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before="40" w:line="240" w:lineRule="auto"/>
        <w:ind w:left="720" w:right="720" w:firstLine="0"/>
        <w:jc w:val="both"/>
        <w:rPr>
          <w:rFonts w:ascii="Times New Roman" w:cs="Times New Roman" w:eastAsia="Times New Roman" w:hAnsi="Times New Roman"/>
          <w:b w:val="1"/>
          <w:bCs w:val="1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360" w:before="4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Courier New"/>
  <w:font w:name="Twentieth Century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topseminare.cz" TargetMode="External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://www.topseminare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