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a MV ČR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8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9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ind w:left="720" w:right="720" w:firstLine="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before="840" w:line="240" w:lineRule="auto"/>
        <w:ind w:left="720" w:right="720" w:firstLine="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0"/>
        </w:rPr>
        <w:t xml:space="preserve">„Aspekt kriminality v sociální práci s rodinou“</w:t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rtl w:val="0"/>
        </w:rPr>
        <w:t xml:space="preserve">akreditace MPSV: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 Aspekt kriminality v sociální práci s rodinou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.  Akreditace č.: </w:t>
      </w:r>
      <w:r w:rsidDel="00000000" w:rsidR="00000000" w:rsidRPr="00000000">
        <w:rPr>
          <w:rFonts w:ascii="Times New Roman" w:cs="Times New Roman" w:eastAsia="Times New Roman" w:hAnsi="Times New Roman"/>
          <w:color w:val="7030a0"/>
          <w:rtl w:val="0"/>
        </w:rPr>
        <w:t xml:space="preserve">A2024/0706-SP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. (8. hodin) kombinovaná forma</w:t>
      </w:r>
    </w:p>
    <w:p w:rsidR="00000000" w:rsidDel="00000000" w:rsidP="00000000" w:rsidRDefault="00000000" w:rsidRPr="00000000" w14:paraId="00000013">
      <w:pPr>
        <w:spacing w:after="0" w:line="240" w:lineRule="auto"/>
        <w:rPr>
          <w:b w:val="1"/>
          <w:bCs w:val="1"/>
          <w:color w:val="4472c4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MVČR: „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Aspekt kriminality v sociální práci s rodinou (videokurz)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5303"/>
        <w:gridCol w:w="5405"/>
        <w:tblGridChange w:id="0">
          <w:tblGrid>
            <w:gridCol w:w="5303"/>
            <w:gridCol w:w="540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Aspekt kriminality v sociální práci s rodinou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rtl w:val="0"/>
              </w:rPr>
              <w:t xml:space="preserve">MPSV: </w:t>
            </w:r>
            <w:r w:rsidDel="00000000" w:rsidR="00000000" w:rsidRPr="00000000">
              <w:rPr>
                <w:color w:val="7030a0"/>
                <w:rtl w:val="0"/>
              </w:rPr>
              <w:t xml:space="preserve">A2024/0706-SP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7030a0"/>
                <w:rtl w:val="0"/>
              </w:rPr>
              <w:t xml:space="preserve">(8. hodin) online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202601134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(převod z 27.11. 2025)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Mgr. Václav Pěkník DiS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- v</w:t>
            </w:r>
            <w:r w:rsidDel="00000000" w:rsidR="00000000" w:rsidRPr="00000000">
              <w:rPr>
                <w:rtl w:val="0"/>
              </w:rPr>
              <w:t xml:space="preserve">edoucí oddělení sociálně-právní ochrany dětí, ÚMOb Slezská Ostrava</w:t>
            </w:r>
            <w:r w:rsidDel="00000000" w:rsidR="00000000" w:rsidRPr="00000000">
              <w:rPr>
                <w:color w:val="000000"/>
                <w:rtl w:val="0"/>
              </w:rPr>
              <w:t xml:space="preserve">, lektor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19.11. 2026 (čtvrtek) od 8.00,00 hod.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ONLINE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b0f0"/>
          <w:sz w:val="24"/>
          <w:szCs w:val="24"/>
          <w:rtl w:val="0"/>
        </w:rPr>
        <w:t xml:space="preserve">OBSAH: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Úvod do problematiky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Představení tématu a lektora, základní pojmy.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Agrese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Agrese, agresivita, delikvence, kriminalita, latentní kriminalita, kriminalita mládeže, psychologická charakteristika kriminálního jednání, faktory ovlivňující rozvoj delikventního chování – biologické, psychické, sociální, osobnost pachatele, přehled vybraných anamnestických údajů kriminální subkultury OSPOD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Sociální práce OSPOD s rodiči, dětmi a mladistvými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Rodičovská odpovědnost, intervence, zásah OSPOD – veřejnoprávní ochrana, principy, zájem a blaho dítěte, zaměření sociálně-právní ochrany dětí, rozlišení opatření ve vztahu k nezletilých a mladistvým, základní zásady práce OSPOD s dětmi a mladistvými, kteří se ocitají v konfliktu se zákonem, využití měkkých nástrojů, motivační rozhovory, filozofie, principy MR, úkony PČR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Kriminalita dětí a dospívajících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Vývoj kriminality v ČR, hlavní důvody poklesu kriminality, registrovaná kriminalita, kriminalita dle teritorií územních obvodů, vývoj kriminality v MSK, kategorie, druhy kriminality, objasněnost, recidiva, kriminalita na území města Ostravy, počet a typy trestných činů na území Ostravy, rizikové faktory zvyšování trestné činnosti, pachatelé, stíhané děti, mladiství, recidivisté, oběti, rizikové jevy působící na děti a mládež, srovnání kriminality v ČR a v jiných zemích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Syndrom CAN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Resilience, kriminalita páchaná na dětech, CAN syndrom, základní postup pracovníků OSPOD v případě syndromu CAN, ohrožování výchovy dětí, domácí násilí, děti jako osoby násilné.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Závěr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Stručné shrnutí tématu, dotazy posluchačů</w:t>
      </w:r>
    </w:p>
    <w:p w:rsidR="00000000" w:rsidDel="00000000" w:rsidP="00000000" w:rsidRDefault="00000000" w:rsidRPr="00000000" w14:paraId="00000035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</w:t>
      </w:r>
    </w:p>
    <w:p w:rsidR="00000000" w:rsidDel="00000000" w:rsidP="00000000" w:rsidRDefault="00000000" w:rsidRPr="00000000" w14:paraId="00000038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B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D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Twentieth 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