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right="720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36"/>
          <w:szCs w:val="36"/>
          <w:rtl w:val="0"/>
        </w:rPr>
        <w:t xml:space="preserve">Projevy náročného chování u dětí a možnosti řešení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„Projevy náročného chování u dětí a možnosti řešení“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A2025/1241-SP/PC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„Projevy náročného chování u dětí a možnosti řešení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Projevy náročného chování u dětí a možnosti řešení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(videokurz)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NOVINKA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A2025/1241-SP/PC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202601255 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Mgr. Katarína Dubělčíková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(odborník v oblasti rodinné mediace, případových konferencí-facilitace, sociálního poradenství, zkušená lektorka)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4.12.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  <w:sz w:val="28"/>
          <w:szCs w:val="28"/>
        </w:rPr>
      </w:pPr>
      <w:bookmarkStart w:colFirst="0" w:colLast="0" w:name="_9lg3hean5go2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Úvodem semináře budou účastníci seznámení s vlivy působícími na chování dětí, jako genetické předpoklady, výchova, rodinné a sociální prostředí. Dále budou představeny příčiny náročného chování u dětí, mezi které patří zejména: nenaplněné potřeby, stres a negativní životní zkušenosti. Postupně budou popsány jednotlivé příčiny podrobněji. Důležitou součástí semináře bude představena kauzalita mezi trojrozměrným uspořádáním mozku a náročným chováním. V neposlední řadě seminář nabídne možnosti řešení náročného chování u dětí – sebe-regulační a regulační techniky, jak na teoretické, tak na praktické úrovni. Závěr semináře bude věnovaný zkušenostem účastníků a jejich dotazům či diskuzi na dané téma.</w:t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informace o příčinách náročného chování u dětí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o tom, jak funguje mozek v průběhu náročného chování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upevňují informace o regulačních a sebe-regulačních technikách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si doplňují konkrétní návody a osvojí si techniky důležité při deeskalaci náročného chování u dětí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