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20" w:line="240" w:lineRule="auto"/>
        <w:ind w:left="720" w:right="720" w:firstLine="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222300" y="2709375"/>
                          <a:ext cx="8247380" cy="2141220"/>
                          <a:chOff x="1222300" y="2709375"/>
                          <a:chExt cx="8247375" cy="2141250"/>
                        </a:xfrm>
                      </wpg:grpSpPr>
                      <wpg:grpSp>
                        <wpg:cNvGrpSpPr/>
                        <wpg:grpSpPr>
                          <a:xfrm>
                            <a:off x="1222310" y="2709390"/>
                            <a:ext cx="8247380" cy="2141220"/>
                            <a:chOff x="-7144" y="-7144"/>
                            <a:chExt cx="6005513" cy="19240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-7144" y="-7144"/>
                              <a:ext cx="6005500" cy="1924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2121694" y="-7144"/>
                              <a:ext cx="3876675" cy="1762125"/>
                            </a:xfrm>
                            <a:custGeom>
                              <a:rect b="b" l="l" r="r" t="t"/>
                              <a:pathLst>
                                <a:path extrusionOk="0" h="1762125" w="3876675">
                                  <a:moveTo>
                                    <a:pt x="3869531" y="1359694"/>
                                  </a:moveTo>
                                  <a:cubicBezTo>
                                    <a:pt x="3869531" y="1359694"/>
                                    <a:pt x="3379946" y="1834039"/>
                                    <a:pt x="2359819" y="1744504"/>
                                  </a:cubicBezTo>
                                  <a:cubicBezTo>
                                    <a:pt x="1339691" y="1654969"/>
                                    <a:pt x="936784" y="1180624"/>
                                    <a:pt x="7144" y="1287304"/>
                                  </a:cubicBezTo>
                                  <a:lnTo>
                                    <a:pt x="7144" y="7144"/>
                                  </a:lnTo>
                                  <a:lnTo>
                                    <a:pt x="3869531" y="7144"/>
                                  </a:lnTo>
                                  <a:lnTo>
                                    <a:pt x="3869531" y="135969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683C6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5" name="Shape 5"/>
                          <wps:spPr>
                            <a:xfrm>
                              <a:off x="-7144" y="-7144"/>
                              <a:ext cx="6000750" cy="1924050"/>
                            </a:xfrm>
                            <a:custGeom>
                              <a:rect b="b" l="l" r="r" t="t"/>
                              <a:pathLst>
                                <a:path extrusionOk="0" h="1924050" w="6000750">
                                  <a:moveTo>
                                    <a:pt x="7144" y="1699736"/>
                                  </a:moveTo>
                                  <a:cubicBezTo>
                                    <a:pt x="7144" y="1699736"/>
                                    <a:pt x="1410176" y="2317909"/>
                                    <a:pt x="2934176" y="1484471"/>
                                  </a:cubicBezTo>
                                  <a:cubicBezTo>
                                    <a:pt x="4459129" y="651986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lnTo>
                                    <a:pt x="7144" y="1699736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CADE4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-7144" y="-7144"/>
                              <a:ext cx="6000750" cy="904875"/>
                            </a:xfrm>
                            <a:custGeom>
                              <a:rect b="b" l="l" r="r" t="t"/>
                              <a:pathLst>
                                <a:path extrusionOk="0" h="904875" w="6000750">
                                  <a:moveTo>
                                    <a:pt x="7144" y="7144"/>
                                  </a:moveTo>
                                  <a:lnTo>
                                    <a:pt x="7144" y="613886"/>
                                  </a:lnTo>
                                  <a:cubicBezTo>
                                    <a:pt x="647224" y="1034891"/>
                                    <a:pt x="2136934" y="964406"/>
                                    <a:pt x="3546634" y="574834"/>
                                  </a:cubicBezTo>
                                  <a:cubicBezTo>
                                    <a:pt x="4882039" y="205264"/>
                                    <a:pt x="5998369" y="893921"/>
                                    <a:pt x="5998369" y="893921"/>
                                  </a:cubicBezTo>
                                  <a:lnTo>
                                    <a:pt x="5998369" y="7144"/>
                                  </a:lnTo>
                                  <a:lnTo>
                                    <a:pt x="7144" y="7144"/>
                                  </a:ln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1CADE4"/>
                                </a:gs>
                                <a:gs pos="100000">
                                  <a:srgbClr val="75CEEF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3176111" y="924401"/>
                              <a:ext cx="2819400" cy="828675"/>
                            </a:xfrm>
                            <a:custGeom>
                              <a:rect b="b" l="l" r="r" t="t"/>
                              <a:pathLst>
                                <a:path extrusionOk="0" h="828675" w="2819400">
                                  <a:moveTo>
                                    <a:pt x="7144" y="481489"/>
                                  </a:moveTo>
                                  <a:cubicBezTo>
                                    <a:pt x="380524" y="602456"/>
                                    <a:pt x="751999" y="764381"/>
                                    <a:pt x="1305401" y="812959"/>
                                  </a:cubicBezTo>
                                  <a:cubicBezTo>
                                    <a:pt x="2325529" y="902494"/>
                                    <a:pt x="2815114" y="428149"/>
                                    <a:pt x="2815114" y="428149"/>
                                  </a:cubicBezTo>
                                  <a:lnTo>
                                    <a:pt x="2815114" y="7144"/>
                                  </a:lnTo>
                                  <a:cubicBezTo>
                                    <a:pt x="2332196" y="236696"/>
                                    <a:pt x="1376839" y="568166"/>
                                    <a:pt x="7144" y="481489"/>
                                  </a:cubicBezTo>
                                  <a:close/>
                                </a:path>
                              </a:pathLst>
                            </a:custGeom>
                            <a:gradFill>
                              <a:gsLst>
                                <a:gs pos="0">
                                  <a:srgbClr val="2683C6"/>
                                </a:gs>
                                <a:gs pos="100000">
                                  <a:srgbClr val="1C6294"/>
                                </a:gs>
                              </a:gsLst>
                              <a:lin ang="0" scaled="0"/>
                            </a:gra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-457199</wp:posOffset>
                </wp:positionH>
                <wp:positionV relativeFrom="paragraph">
                  <wp:posOffset>-457833</wp:posOffset>
                </wp:positionV>
                <wp:extent cx="8247380" cy="214122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247380" cy="21412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10790.0" w:type="dxa"/>
        <w:jc w:val="center"/>
        <w:tblLayout w:type="fixed"/>
        <w:tblLook w:val="0600"/>
      </w:tblPr>
      <w:tblGrid>
        <w:gridCol w:w="10790"/>
        <w:tblGridChange w:id="0">
          <w:tblGrid>
            <w:gridCol w:w="10790"/>
          </w:tblGrid>
        </w:tblGridChange>
      </w:tblGrid>
      <w:tr>
        <w:trPr>
          <w:cantSplit w:val="0"/>
          <w:trHeight w:val="86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after="0" w:line="240" w:lineRule="auto"/>
              <w:ind w:right="720"/>
              <w:rPr>
                <w:rFonts w:ascii="Twentieth Century" w:cs="Twentieth Century" w:eastAsia="Twentieth Century" w:hAnsi="Twentieth Century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/>
          <w:p w:rsidR="00000000" w:rsidDel="00000000" w:rsidP="00000000" w:rsidRDefault="00000000" w:rsidRPr="00000000" w14:paraId="00000003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Twentieth Century" w:cs="Twentieth Century" w:eastAsia="Twentieth Century" w:hAnsi="Twentieth Century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64" w:hRule="atLeast"/>
          <w:tblHeader w:val="0"/>
        </w:trPr>
        <w:tc>
          <w:tcPr>
            <w:vAlign w:val="bottom"/>
          </w:tcPr>
          <w:p w:rsidR="00000000" w:rsidDel="00000000" w:rsidP="00000000" w:rsidRDefault="00000000" w:rsidRPr="00000000" w14:paraId="00000004">
            <w:pPr>
              <w:tabs>
                <w:tab w:val="left" w:leader="none" w:pos="1800"/>
              </w:tabs>
              <w:spacing w:after="0" w:before="40" w:line="240" w:lineRule="auto"/>
              <w:ind w:right="72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TOP Semináře s.r.o.,</w:t>
            </w:r>
          </w:p>
          <w:p w:rsidR="00000000" w:rsidDel="00000000" w:rsidP="00000000" w:rsidRDefault="00000000" w:rsidRPr="00000000" w14:paraId="00000005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Vzdělávací agentura</w:t>
            </w:r>
          </w:p>
          <w:p w:rsidR="00000000" w:rsidDel="00000000" w:rsidP="00000000" w:rsidRDefault="00000000" w:rsidRPr="00000000" w14:paraId="00000006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Akreditace programů MPSV </w:t>
            </w:r>
          </w:p>
          <w:p w:rsidR="00000000" w:rsidDel="00000000" w:rsidP="00000000" w:rsidRDefault="00000000" w:rsidRPr="00000000" w14:paraId="00000007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Akreditovaná vzdělávací instituce MVČR AK/I-53/2017</w:t>
            </w:r>
          </w:p>
          <w:p w:rsidR="00000000" w:rsidDel="00000000" w:rsidP="00000000" w:rsidRDefault="00000000" w:rsidRPr="00000000" w14:paraId="00000008">
            <w:pPr>
              <w:tabs>
                <w:tab w:val="left" w:leader="none" w:pos="1125"/>
                <w:tab w:val="left" w:leader="none" w:pos="1800"/>
                <w:tab w:val="center" w:leader="none" w:pos="5097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Zátiší 476/12, Ostrava – Svinov, 721 00</w:t>
            </w:r>
            <w:r w:rsidDel="00000000" w:rsidR="00000000" w:rsidRPr="00000000">
              <w:drawing>
                <wp:anchor allowOverlap="1" behindDoc="1" distB="0" distT="0" distL="0" distR="0" hidden="0" layoutInCell="1" locked="0" relativeHeight="0" simplePos="0">
                  <wp:simplePos x="0" y="0"/>
                  <wp:positionH relativeFrom="column">
                    <wp:posOffset>6156960</wp:posOffset>
                  </wp:positionH>
                  <wp:positionV relativeFrom="paragraph">
                    <wp:posOffset>9525</wp:posOffset>
                  </wp:positionV>
                  <wp:extent cx="1021080" cy="1074420"/>
                  <wp:effectExtent b="0" l="0" r="0" t="0"/>
                  <wp:wrapNone/>
                  <wp:docPr id="2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1080" cy="107442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000000" w:rsidDel="00000000" w:rsidP="00000000" w:rsidRDefault="00000000" w:rsidRPr="00000000" w14:paraId="00000009">
            <w:pPr>
              <w:tabs>
                <w:tab w:val="left" w:leader="none" w:pos="1800"/>
              </w:tabs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IČ: 06546897 </w:t>
            </w:r>
          </w:p>
          <w:p w:rsidR="00000000" w:rsidDel="00000000" w:rsidP="00000000" w:rsidRDefault="00000000" w:rsidRPr="00000000" w14:paraId="0000000A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Mobil:602 707 481, E-mail: info@topseminare.cz</w:t>
            </w:r>
          </w:p>
          <w:p w:rsidR="00000000" w:rsidDel="00000000" w:rsidP="00000000" w:rsidRDefault="00000000" w:rsidRPr="00000000" w14:paraId="0000000B">
            <w:pPr>
              <w:spacing w:after="0" w:before="40" w:line="240" w:lineRule="auto"/>
              <w:ind w:left="720" w:right="720" w:firstLine="0"/>
              <w:rPr>
                <w:rFonts w:ascii="Arial" w:cs="Arial" w:eastAsia="Arial" w:hAnsi="Arial"/>
                <w:color w:val="ffffff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více informací na: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4"/>
                <w:szCs w:val="24"/>
                <w:rtl w:val="0"/>
              </w:rPr>
              <w:t xml:space="preserve">www.topseminare.cz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after="40" w:before="840" w:line="240" w:lineRule="auto"/>
        <w:ind w:right="720"/>
        <w:rPr>
          <w:rFonts w:ascii="Twentieth Century" w:cs="Twentieth Century" w:eastAsia="Twentieth Century" w:hAnsi="Twentieth Century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595959"/>
          <w:sz w:val="20"/>
          <w:szCs w:val="20"/>
          <w:rtl w:val="0"/>
        </w:rPr>
        <w:t xml:space="preserve">si Vás dovolujeme pozvat na seminář</w:t>
      </w:r>
    </w:p>
    <w:p w:rsidR="00000000" w:rsidDel="00000000" w:rsidP="00000000" w:rsidRDefault="00000000" w:rsidRPr="00000000" w14:paraId="0000000E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b w:val="1"/>
          <w:bCs w:val="1"/>
          <w:color w:val="595959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tabs>
          <w:tab w:val="left" w:leader="none" w:pos="1800"/>
        </w:tabs>
        <w:spacing w:after="0" w:before="40" w:line="240" w:lineRule="auto"/>
        <w:ind w:left="720" w:right="720" w:firstLine="0"/>
        <w:jc w:val="center"/>
        <w:rPr>
          <w:rFonts w:ascii="Arial" w:cs="Arial" w:eastAsia="Arial" w:hAnsi="Arial"/>
          <w:color w:val="3366ff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  <w:rtl w:val="0"/>
        </w:rPr>
        <w:t xml:space="preserve">„Rodinné právo v soudní praxi pro účely usnadnění sociální práce orgánům</w:t>
      </w:r>
    </w:p>
    <w:p w:rsidR="00000000" w:rsidDel="00000000" w:rsidP="00000000" w:rsidRDefault="00000000" w:rsidRPr="00000000" w14:paraId="00000012">
      <w:pPr>
        <w:jc w:val="center"/>
        <w:rPr>
          <w:b w:val="1"/>
          <w:bCs w:val="1"/>
          <w:i w:val="0"/>
          <w:iCs w:val="0"/>
          <w:color w:val="4472c4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32"/>
          <w:szCs w:val="32"/>
          <w:rtl w:val="0"/>
        </w:rPr>
        <w:t xml:space="preserve">sociálně-právní ochrany dětí</w:t>
      </w:r>
      <w:r w:rsidDel="00000000" w:rsidR="00000000" w:rsidRPr="00000000">
        <w:rPr>
          <w:rFonts w:ascii="Arial" w:cs="Arial" w:eastAsia="Arial" w:hAnsi="Arial"/>
          <w:color w:val="4472c4"/>
          <w:sz w:val="32"/>
          <w:szCs w:val="32"/>
          <w:rtl w:val="0"/>
        </w:rPr>
        <w:t xml:space="preserve">“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  <w:b w:val="1"/>
          <w:bCs w:val="1"/>
          <w:color w:val="44546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7030a0"/>
          <w:sz w:val="24"/>
          <w:szCs w:val="24"/>
          <w:rtl w:val="0"/>
        </w:rPr>
        <w:t xml:space="preserve">Akreditace MPSV</w:t>
      </w: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: „Rodinné právo v soudní praxi pro účely usnadnění sociální práce orgánům</w:t>
      </w:r>
    </w:p>
    <w:p w:rsidR="00000000" w:rsidDel="00000000" w:rsidP="00000000" w:rsidRDefault="00000000" w:rsidRPr="00000000" w14:paraId="00000015">
      <w:pPr>
        <w:rPr>
          <w:b w:val="1"/>
          <w:bCs w:val="1"/>
          <w:i w:val="0"/>
          <w:iCs w:val="0"/>
          <w:color w:val="7030a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7030a0"/>
          <w:sz w:val="24"/>
          <w:szCs w:val="24"/>
          <w:rtl w:val="0"/>
        </w:rPr>
        <w:t xml:space="preserve">sociálně-právní ochrany dětí“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7030a0"/>
          <w:sz w:val="24"/>
          <w:szCs w:val="24"/>
          <w:rtl w:val="0"/>
        </w:rPr>
        <w:t xml:space="preserve"> A2025/1242-SP/PC</w:t>
      </w:r>
      <w:r w:rsidDel="00000000" w:rsidR="00000000" w:rsidRPr="00000000">
        <w:rPr>
          <w:rFonts w:ascii="Arial" w:cs="Arial" w:eastAsia="Arial" w:hAnsi="Arial"/>
          <w:i w:val="1"/>
          <w:iCs w:val="1"/>
          <w:color w:val="7030a0"/>
          <w:sz w:val="24"/>
          <w:szCs w:val="24"/>
          <w:rtl w:val="0"/>
        </w:rPr>
        <w:t xml:space="preserve"> (8. hodin) kombinovaná forma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  <w:b w:val="1"/>
          <w:bCs w:val="1"/>
          <w:color w:val="4472c4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4472c4"/>
          <w:sz w:val="24"/>
          <w:szCs w:val="24"/>
          <w:rtl w:val="0"/>
        </w:rPr>
        <w:t xml:space="preserve">akreditace MVČR: „Rodinné právo v soudní praxi pro účely usnadnění sociální práce orgánům sociálně-právní ochrany dětí (videokurz)</w:t>
      </w:r>
      <w:r w:rsidDel="00000000" w:rsidR="00000000" w:rsidRPr="00000000">
        <w:rPr>
          <w:rFonts w:ascii="Arial" w:cs="Arial" w:eastAsia="Arial" w:hAnsi="Arial"/>
          <w:color w:val="4472c4"/>
          <w:sz w:val="24"/>
          <w:szCs w:val="24"/>
          <w:rtl w:val="0"/>
        </w:rPr>
        <w:t xml:space="preserve">“</w:t>
      </w:r>
      <w:r w:rsidDel="00000000" w:rsidR="00000000" w:rsidRPr="00000000">
        <w:rPr>
          <w:color w:val="4472c4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4472c4"/>
          <w:sz w:val="24"/>
          <w:szCs w:val="24"/>
          <w:rtl w:val="0"/>
        </w:rPr>
        <w:t xml:space="preserve">(program vypracovaný dle zákona č. 312/2002 Sb., o úřednících ÚSC v aktuálním znění. (8 hodin) 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4472c4"/>
          <w:sz w:val="24"/>
          <w:szCs w:val="24"/>
          <w:rtl w:val="0"/>
        </w:rPr>
        <w:t xml:space="preserve">Akreditace vzdělávací instituce AK/I-53/2017</w:t>
      </w:r>
      <w:r w:rsidDel="00000000" w:rsidR="00000000" w:rsidRPr="00000000">
        <w:rPr>
          <w:rtl w:val="0"/>
        </w:rPr>
      </w:r>
    </w:p>
    <w:tbl>
      <w:tblPr>
        <w:tblStyle w:val="Table2"/>
        <w:tblW w:w="10708.0" w:type="dxa"/>
        <w:jc w:val="left"/>
        <w:tblInd w:w="15.0" w:type="dxa"/>
        <w:tblLayout w:type="fixed"/>
        <w:tblLook w:val="0400"/>
      </w:tblPr>
      <w:tblGrid>
        <w:gridCol w:w="3513"/>
        <w:gridCol w:w="7195"/>
        <w:tblGridChange w:id="0">
          <w:tblGrid>
            <w:gridCol w:w="3513"/>
            <w:gridCol w:w="7195"/>
          </w:tblGrid>
        </w:tblGridChange>
      </w:tblGrid>
      <w:tr>
        <w:trPr>
          <w:cantSplit w:val="0"/>
          <w:trHeight w:val="642" w:hRule="atLeast"/>
          <w:tblHeader w:val="0"/>
        </w:trPr>
        <w:tc>
          <w:tcPr>
            <w:gridSpan w:val="2"/>
            <w:tcBorders>
              <w:left w:color="000000" w:space="0" w:sz="0" w:val="nil"/>
              <w:right w:color="000000" w:space="0" w:sz="0" w:val="nil"/>
            </w:tcBorders>
            <w:shd w:fill="00a4de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Times New Roman" w:cs="Times New Roman" w:eastAsia="Times New Roman" w:hAnsi="Times New Roman"/>
                <w:b w:val="1"/>
                <w:bCs w:val="1"/>
                <w:color w:val="4472c4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Rodinné právo v soudní praxi pro účely usnadnění sociální práce orgánům sociálně-právní ochrany dětí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 (videokurz)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ee0000"/>
                <w:sz w:val="28"/>
                <w:szCs w:val="28"/>
                <w:rtl w:val="0"/>
              </w:rPr>
              <w:t xml:space="preserve">NOVINKA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7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Akreditace: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hd w:fill="ffffff" w:val="clear"/>
              <w:spacing w:after="0" w:before="40" w:line="240" w:lineRule="auto"/>
              <w:ind w:right="720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4"/>
                <w:szCs w:val="24"/>
                <w:rtl w:val="0"/>
              </w:rPr>
              <w:t xml:space="preserve">MPSV: A2025/1242-SP/PC (8. hodin) online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008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br w:type="textWrapping"/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333399"/>
                <w:sz w:val="20"/>
                <w:szCs w:val="20"/>
                <w:rtl w:val="0"/>
              </w:rPr>
              <w:t xml:space="preserve">MVČR: </w:t>
            </w:r>
            <w:r w:rsidDel="00000000" w:rsidR="00000000" w:rsidRPr="00000000">
              <w:rPr>
                <w:rFonts w:ascii="Calibri" w:cs="Calibri" w:eastAsia="Calibri" w:hAnsi="Calibri"/>
                <w:color w:val="4472c4"/>
                <w:rtl w:val="0"/>
              </w:rPr>
              <w:t xml:space="preserve">(program vypracovaný dle zákona č. 312/2002 Sb., o úřednících ÚSC v aktuálním znění. (8 hodin)) Akreditace vzdělávací instituce AK/I-53/2017 (videokurz)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Variabilní symbol: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202601260</w:t>
            </w:r>
          </w:p>
        </w:tc>
      </w:tr>
      <w:tr>
        <w:trPr>
          <w:cantSplit w:val="0"/>
          <w:trHeight w:val="590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Přednáší: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JUDr. Hana Carbolová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: soudce, Okresní soud Frýdek-Místek, lektor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5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Termín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18.12. 2026 (pátek) od 8,00 hod.</w:t>
            </w:r>
            <w:r w:rsidDel="00000000" w:rsidR="00000000" w:rsidRPr="00000000">
              <w:rPr>
                <w:color w:val="00206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24"/>
                <w:szCs w:val="24"/>
                <w:rtl w:val="0"/>
              </w:rPr>
              <w:t xml:space="preserve">(prezence od 7,30hod – 8,00 hod.)</w:t>
              <w:br w:type="textWrapping"/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Místo konání: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ee0000"/>
                <w:sz w:val="24"/>
                <w:szCs w:val="24"/>
                <w:rtl w:val="0"/>
              </w:rPr>
              <w:t xml:space="preserve">ON-LINE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Cena: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c00000"/>
                <w:sz w:val="24"/>
                <w:szCs w:val="24"/>
                <w:rtl w:val="0"/>
              </w:rPr>
              <w:t xml:space="preserve">1 990 Kč / osoba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8" w:hRule="atLeast"/>
          <w:tblHeader w:val="0"/>
        </w:trPr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Trebuchet MS" w:cs="Trebuchet MS" w:eastAsia="Trebuchet MS" w:hAnsi="Trebuchet MS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Organizace: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left w:color="000000" w:space="0" w:sz="0" w:val="nil"/>
              <w:right w:color="000000" w:space="0" w:sz="0" w:val="nil"/>
            </w:tcBorders>
            <w:shd w:fill="ffffff" w:val="clear"/>
            <w:tcMar>
              <w:top w:w="30.0" w:type="dxa"/>
              <w:left w:w="30.0" w:type="dxa"/>
              <w:bottom w:w="30.0" w:type="dxa"/>
              <w:right w:w="3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b w:val="1"/>
                <w:bCs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color w:val="002060"/>
                <w:sz w:val="24"/>
                <w:szCs w:val="24"/>
                <w:rtl w:val="0"/>
              </w:rPr>
              <w:t xml:space="preserve">TOP. Semináře s.r.o.  IČ: 06546897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7">
      <w:pPr>
        <w:tabs>
          <w:tab w:val="left" w:leader="none" w:pos="10195"/>
        </w:tabs>
        <w:spacing w:after="0" w:before="40" w:line="240" w:lineRule="auto"/>
        <w:ind w:right="-11"/>
        <w:jc w:val="both"/>
        <w:rPr>
          <w:rFonts w:ascii="Arial" w:cs="Arial" w:eastAsia="Arial" w:hAnsi="Arial"/>
          <w:b w:val="1"/>
          <w:bCs w:val="1"/>
          <w:color w:val="00b0f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Anotace</w:t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Lektorka v úvodu odkáže na základní pojmy z oblasti rodinného práva. Poté probere druhy řízení ve věcech rodinného práva. Zvláštní pozornost je věnována řízení ve věcech péče o nezletilé. Jednotlivé druhy náhradní výchovné péče jsou pak náplní dalšího bloku. V části rodinné právo jsou probrány záležitosti týkající se uzavírání manželství a jeho platnosti a neplatnosti. Vztahům mezi manželi a rodiči a dětmi se věnuje pokračování. Na závěr dojde i na očekáváné legislativní změny rodinného práva. Stručným shrnutím a diskusí lektorka uzavře tento seminář.</w:t>
      </w:r>
    </w:p>
    <w:p w:rsidR="00000000" w:rsidDel="00000000" w:rsidP="00000000" w:rsidRDefault="00000000" w:rsidRPr="00000000" w14:paraId="0000002C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8"/>
          <w:szCs w:val="28"/>
        </w:rPr>
      </w:pPr>
      <w:bookmarkStart w:colFirst="0" w:colLast="0" w:name="_1ppsohumbuuf" w:id="0"/>
      <w:bookmarkEnd w:id="0"/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Cílové kompetence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obnovují svoje poznatky z oblasti aktuální legislativy rodinného práva.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informace z oblasti řízení ve věcech péče o nezletilé.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upevňují svoje znalosti rodinného práva, pokud jde o uzavírání manželství, jeho platnost a neplatnost.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svoje poznání v oblasti vztahům mezi manželi a rodiči a dětmi.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Absolventi doplňují informace o očekáváných legislativních změnách rodinného práva.</w:t>
      </w:r>
    </w:p>
    <w:p w:rsidR="00000000" w:rsidDel="00000000" w:rsidP="00000000" w:rsidRDefault="00000000" w:rsidRPr="00000000" w14:paraId="00000033">
      <w:pPr>
        <w:spacing w:after="360" w:before="40" w:line="240" w:lineRule="auto"/>
        <w:ind w:right="72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360" w:before="40" w:line="240" w:lineRule="auto"/>
        <w:ind w:left="720" w:right="720" w:firstLine="0"/>
        <w:rPr>
          <w:i w:val="1"/>
          <w:i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b0f0"/>
          <w:sz w:val="20"/>
          <w:szCs w:val="20"/>
          <w:u w:val="none"/>
          <w:shd w:fill="auto" w:val="clear"/>
          <w:vertAlign w:val="baseline"/>
          <w:rtl w:val="0"/>
        </w:rPr>
        <w:t xml:space="preserve">Součástí ceny je osvědčení o absolvování semináře, materiály k tématu v elektronické podobě </w:t>
      </w:r>
    </w:p>
    <w:p w:rsidR="00000000" w:rsidDel="00000000" w:rsidP="00000000" w:rsidRDefault="00000000" w:rsidRPr="00000000" w14:paraId="00000036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tabs>
          <w:tab w:val="left" w:leader="none" w:pos="3330"/>
        </w:tabs>
        <w:ind w:right="-153"/>
        <w:jc w:val="both"/>
        <w:rPr>
          <w:b w:val="1"/>
          <w:bCs w:val="1"/>
          <w:color w:val="00b0f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Jak se přihlásit:</w:t>
      </w:r>
      <w:r w:rsidDel="00000000" w:rsidR="00000000" w:rsidRPr="00000000">
        <w:rPr>
          <w:b w:val="1"/>
          <w:bCs w:val="1"/>
          <w:color w:val="00b0f0"/>
          <w:rtl w:val="0"/>
        </w:rPr>
        <w:t xml:space="preserve">  </w:t>
        <w:tab/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153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Zaplaťte účastnický poplatek a vyplňte přihlašovací formulář, prostřednictvím našich webových stránek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www.topseminare.cz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Úředníci ÚSC mohou realizovat platbu za seminář až po obdržení faktury po semináři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Nejasnosti a dotazy rádi vyřídíme telefonicky či emailem (kontakty viz výše nebo na webových stránkách).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Ve lhůtě tři dny a méně před konáním akce není možné zrušit účast na semináři. Kdykoli je možné nahlásit náhradníka na </w:t>
      </w:r>
      <w:hyperlink r:id="rId9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ff"/>
            <w:sz w:val="20"/>
            <w:szCs w:val="20"/>
            <w:u w:val="single"/>
            <w:shd w:fill="auto" w:val="clear"/>
            <w:vertAlign w:val="baseline"/>
            <w:rtl w:val="0"/>
          </w:rPr>
          <w:t xml:space="preserve">info@topseminare.cz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 </w:t>
      </w:r>
    </w:p>
    <w:p w:rsidR="00000000" w:rsidDel="00000000" w:rsidP="00000000" w:rsidRDefault="00000000" w:rsidRPr="00000000" w14:paraId="00000039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right="-153"/>
        <w:rPr>
          <w:b w:val="1"/>
          <w:bCs w:val="1"/>
          <w:color w:val="00b0f0"/>
          <w:sz w:val="20"/>
          <w:szCs w:val="20"/>
        </w:rPr>
      </w:pPr>
      <w:r w:rsidDel="00000000" w:rsidR="00000000" w:rsidRPr="00000000">
        <w:rPr>
          <w:b w:val="1"/>
          <w:bCs w:val="1"/>
          <w:color w:val="00b0f0"/>
          <w:sz w:val="20"/>
          <w:szCs w:val="20"/>
          <w:rtl w:val="0"/>
        </w:rPr>
        <w:t xml:space="preserve">Zaplacení a smluvní podmínky: </w:t>
      </w:r>
    </w:p>
    <w:p w:rsidR="00000000" w:rsidDel="00000000" w:rsidP="00000000" w:rsidRDefault="00000000" w:rsidRPr="00000000" w14:paraId="0000003B">
      <w:pPr>
        <w:spacing w:after="360" w:before="40" w:line="240" w:lineRule="auto"/>
        <w:ind w:right="720"/>
        <w:rPr>
          <w:rFonts w:ascii="Twentieth Century" w:cs="Twentieth Century" w:eastAsia="Twentieth Century" w:hAnsi="Twentieth Century"/>
          <w:color w:val="595959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Úhradu semináře proveďte na náš </w:t>
      </w:r>
      <w:r w:rsidDel="00000000" w:rsidR="00000000" w:rsidRPr="00000000">
        <w:rPr>
          <w:b w:val="1"/>
          <w:bCs w:val="1"/>
          <w:i w:val="1"/>
          <w:iCs w:val="1"/>
          <w:color w:val="ff0000"/>
          <w:sz w:val="20"/>
          <w:szCs w:val="20"/>
          <w:rtl w:val="0"/>
        </w:rPr>
        <w:t xml:space="preserve">účet č. 5000500032/5500 Raiffeisen Bank</w:t>
      </w:r>
      <w:r w:rsidDel="00000000" w:rsidR="00000000" w:rsidRPr="00000000">
        <w:rPr>
          <w:sz w:val="20"/>
          <w:szCs w:val="20"/>
          <w:rtl w:val="0"/>
        </w:rPr>
        <w:t xml:space="preserve">, neopomeňte uvést správný variabilní symbol. Daňový doklad obdrží účastníci v den konání semináře. V případě neúčasti se vložné nevrací, ale je možné poslat náhradníka</w:t>
      </w:r>
      <w:r w:rsidDel="00000000" w:rsidR="00000000" w:rsidRPr="00000000">
        <w:rPr>
          <w:rtl w:val="0"/>
        </w:rPr>
      </w:r>
    </w:p>
    <w:sectPr>
      <w:headerReference r:id="rId10" w:type="default"/>
      <w:headerReference r:id="rId11" w:type="first"/>
      <w:headerReference r:id="rId12" w:type="even"/>
      <w:footerReference r:id="rId13" w:type="default"/>
      <w:footerReference r:id="rId14" w:type="first"/>
      <w:footerReference r:id="rId15" w:type="even"/>
      <w:pgSz w:h="16838" w:w="11906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  <w:font w:name="Trebuchet MS"/>
  <w:font w:name="Courier New"/>
  <w:font w:name="Twentieth Century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3.xml"/><Relationship Id="rId10" Type="http://schemas.openxmlformats.org/officeDocument/2006/relationships/header" Target="header2.xml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info@topseminare.cz" TargetMode="External"/><Relationship Id="rId15" Type="http://schemas.openxmlformats.org/officeDocument/2006/relationships/footer" Target="footer1.xml"/><Relationship Id="rId14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://www.topseminare.cz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