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120" w:line="240" w:lineRule="auto"/>
        <w:ind w:left="720" w:right="720" w:firstLine="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-457833</wp:posOffset>
                </wp:positionV>
                <wp:extent cx="8247380" cy="2141220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222300" y="2709375"/>
                          <a:ext cx="8247380" cy="2141220"/>
                          <a:chOff x="1222300" y="2709375"/>
                          <a:chExt cx="8247375" cy="2141250"/>
                        </a:xfrm>
                      </wpg:grpSpPr>
                      <wpg:grpSp>
                        <wpg:cNvGrpSpPr/>
                        <wpg:grpSpPr>
                          <a:xfrm>
                            <a:off x="1222310" y="2709390"/>
                            <a:ext cx="8247380" cy="2141220"/>
                            <a:chOff x="-7144" y="-7144"/>
                            <a:chExt cx="6005513" cy="19240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-7144" y="-7144"/>
                              <a:ext cx="6005500" cy="19240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2121694" y="-7144"/>
                              <a:ext cx="3876675" cy="1762125"/>
                            </a:xfrm>
                            <a:custGeom>
                              <a:rect b="b" l="l" r="r" t="t"/>
                              <a:pathLst>
                                <a:path extrusionOk="0" h="1762125" w="3876675">
                                  <a:moveTo>
                                    <a:pt x="3869531" y="1359694"/>
                                  </a:moveTo>
                                  <a:cubicBezTo>
                                    <a:pt x="3869531" y="1359694"/>
                                    <a:pt x="3379946" y="1834039"/>
                                    <a:pt x="2359819" y="1744504"/>
                                  </a:cubicBezTo>
                                  <a:cubicBezTo>
                                    <a:pt x="1339691" y="1654969"/>
                                    <a:pt x="936784" y="1180624"/>
                                    <a:pt x="7144" y="1287304"/>
                                  </a:cubicBezTo>
                                  <a:lnTo>
                                    <a:pt x="7144" y="7144"/>
                                  </a:lnTo>
                                  <a:lnTo>
                                    <a:pt x="3869531" y="7144"/>
                                  </a:lnTo>
                                  <a:lnTo>
                                    <a:pt x="3869531" y="13596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683C6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-7144" y="-7144"/>
                              <a:ext cx="6000750" cy="1924050"/>
                            </a:xfrm>
                            <a:custGeom>
                              <a:rect b="b" l="l" r="r" t="t"/>
                              <a:pathLst>
                                <a:path extrusionOk="0" h="1924050" w="6000750">
                                  <a:moveTo>
                                    <a:pt x="7144" y="1699736"/>
                                  </a:moveTo>
                                  <a:cubicBezTo>
                                    <a:pt x="7144" y="1699736"/>
                                    <a:pt x="1410176" y="2317909"/>
                                    <a:pt x="2934176" y="1484471"/>
                                  </a:cubicBezTo>
                                  <a:cubicBezTo>
                                    <a:pt x="4459129" y="651986"/>
                                    <a:pt x="5998369" y="893921"/>
                                    <a:pt x="5998369" y="893921"/>
                                  </a:cubicBezTo>
                                  <a:lnTo>
                                    <a:pt x="5998369" y="7144"/>
                                  </a:lnTo>
                                  <a:lnTo>
                                    <a:pt x="7144" y="7144"/>
                                  </a:lnTo>
                                  <a:lnTo>
                                    <a:pt x="7144" y="16997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CADE4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-7144" y="-7144"/>
                              <a:ext cx="6000750" cy="904875"/>
                            </a:xfrm>
                            <a:custGeom>
                              <a:rect b="b" l="l" r="r" t="t"/>
                              <a:pathLst>
                                <a:path extrusionOk="0" h="904875" w="6000750">
                                  <a:moveTo>
                                    <a:pt x="7144" y="7144"/>
                                  </a:moveTo>
                                  <a:lnTo>
                                    <a:pt x="7144" y="613886"/>
                                  </a:lnTo>
                                  <a:cubicBezTo>
                                    <a:pt x="647224" y="1034891"/>
                                    <a:pt x="2136934" y="964406"/>
                                    <a:pt x="3546634" y="574834"/>
                                  </a:cubicBezTo>
                                  <a:cubicBezTo>
                                    <a:pt x="4882039" y="205264"/>
                                    <a:pt x="5998369" y="893921"/>
                                    <a:pt x="5998369" y="893921"/>
                                  </a:cubicBezTo>
                                  <a:lnTo>
                                    <a:pt x="5998369" y="7144"/>
                                  </a:lnTo>
                                  <a:lnTo>
                                    <a:pt x="7144" y="7144"/>
                                  </a:lnTo>
                                  <a:close/>
                                </a:path>
                              </a:pathLst>
                            </a:custGeom>
                            <a:gradFill>
                              <a:gsLst>
                                <a:gs pos="0">
                                  <a:srgbClr val="1CADE4"/>
                                </a:gs>
                                <a:gs pos="100000">
                                  <a:srgbClr val="75CEEF"/>
                                </a:gs>
                              </a:gsLst>
                              <a:lin ang="0" scaled="0"/>
                            </a:gra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3176111" y="924401"/>
                              <a:ext cx="2819400" cy="828675"/>
                            </a:xfrm>
                            <a:custGeom>
                              <a:rect b="b" l="l" r="r" t="t"/>
                              <a:pathLst>
                                <a:path extrusionOk="0" h="828675" w="2819400">
                                  <a:moveTo>
                                    <a:pt x="7144" y="481489"/>
                                  </a:moveTo>
                                  <a:cubicBezTo>
                                    <a:pt x="380524" y="602456"/>
                                    <a:pt x="751999" y="764381"/>
                                    <a:pt x="1305401" y="812959"/>
                                  </a:cubicBezTo>
                                  <a:cubicBezTo>
                                    <a:pt x="2325529" y="902494"/>
                                    <a:pt x="2815114" y="428149"/>
                                    <a:pt x="2815114" y="428149"/>
                                  </a:cubicBezTo>
                                  <a:lnTo>
                                    <a:pt x="2815114" y="7144"/>
                                  </a:lnTo>
                                  <a:cubicBezTo>
                                    <a:pt x="2332196" y="236696"/>
                                    <a:pt x="1376839" y="568166"/>
                                    <a:pt x="7144" y="481489"/>
                                  </a:cubicBezTo>
                                  <a:close/>
                                </a:path>
                              </a:pathLst>
                            </a:custGeom>
                            <a:gradFill>
                              <a:gsLst>
                                <a:gs pos="0">
                                  <a:srgbClr val="2683C6"/>
                                </a:gs>
                                <a:gs pos="100000">
                                  <a:srgbClr val="1C6294"/>
                                </a:gs>
                              </a:gsLst>
                              <a:lin ang="0" scaled="0"/>
                            </a:gra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-457833</wp:posOffset>
                </wp:positionV>
                <wp:extent cx="8247380" cy="214122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47380" cy="21412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10790.0" w:type="dxa"/>
        <w:jc w:val="center"/>
        <w:tblLayout w:type="fixed"/>
        <w:tblLook w:val="0600"/>
      </w:tblPr>
      <w:tblGrid>
        <w:gridCol w:w="10790"/>
        <w:tblGridChange w:id="0">
          <w:tblGrid>
            <w:gridCol w:w="10790"/>
          </w:tblGrid>
        </w:tblGridChange>
      </w:tblGrid>
      <w:tr>
        <w:trPr>
          <w:cantSplit w:val="0"/>
          <w:trHeight w:val="86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after="0" w:line="240" w:lineRule="auto"/>
              <w:ind w:right="720"/>
              <w:rPr>
                <w:rFonts w:ascii="Twentieth Century" w:cs="Twentieth Century" w:eastAsia="Twentieth Century" w:hAnsi="Twentieth Century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Twentieth Century" w:cs="Twentieth Century" w:eastAsia="Twentieth Century" w:hAnsi="Twentieth Century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04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           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TOP Semináře s.r.o.,</w:t>
            </w:r>
          </w:p>
          <w:p w:rsidR="00000000" w:rsidDel="00000000" w:rsidP="00000000" w:rsidRDefault="00000000" w:rsidRPr="00000000" w14:paraId="00000005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Vzdělávací agentura</w:t>
            </w:r>
          </w:p>
          <w:p w:rsidR="00000000" w:rsidDel="00000000" w:rsidP="00000000" w:rsidRDefault="00000000" w:rsidRPr="00000000" w14:paraId="00000006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Akreditace programů MPSV </w:t>
            </w:r>
          </w:p>
          <w:p w:rsidR="00000000" w:rsidDel="00000000" w:rsidP="00000000" w:rsidRDefault="00000000" w:rsidRPr="00000000" w14:paraId="00000007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Akreditovaná vzdělávací instituce MVČR AK/I-53/2017</w:t>
            </w:r>
          </w:p>
          <w:p w:rsidR="00000000" w:rsidDel="00000000" w:rsidP="00000000" w:rsidRDefault="00000000" w:rsidRPr="00000000" w14:paraId="00000008">
            <w:pPr>
              <w:tabs>
                <w:tab w:val="left" w:leader="none" w:pos="1125"/>
                <w:tab w:val="left" w:leader="none" w:pos="1800"/>
                <w:tab w:val="center" w:leader="none" w:pos="5097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Zátiší 476/12, Ostrava – Svinov, 721 00</w:t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6156960</wp:posOffset>
                  </wp:positionH>
                  <wp:positionV relativeFrom="paragraph">
                    <wp:posOffset>9525</wp:posOffset>
                  </wp:positionV>
                  <wp:extent cx="1021080" cy="1074420"/>
                  <wp:effectExtent b="0" l="0" r="0" t="0"/>
                  <wp:wrapNone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080" cy="10744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9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IČ: 06546897 </w:t>
            </w:r>
          </w:p>
          <w:p w:rsidR="00000000" w:rsidDel="00000000" w:rsidP="00000000" w:rsidRDefault="00000000" w:rsidRPr="00000000" w14:paraId="0000000A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Mobil:602 707 481, E-mail: info@topseminare.cz</w:t>
            </w:r>
          </w:p>
          <w:p w:rsidR="00000000" w:rsidDel="00000000" w:rsidP="00000000" w:rsidRDefault="00000000" w:rsidRPr="00000000" w14:paraId="0000000B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více informací na: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www.topseminare.cz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Twentieth Century" w:cs="Twentieth Century" w:eastAsia="Twentieth Century" w:hAnsi="Twentieth Century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spacing w:after="40" w:before="840" w:line="240" w:lineRule="auto"/>
        <w:ind w:right="720"/>
        <w:rPr>
          <w:rFonts w:ascii="Twentieth Century" w:cs="Twentieth Century" w:eastAsia="Twentieth Century" w:hAnsi="Twentieth Century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595959"/>
          <w:sz w:val="20"/>
          <w:szCs w:val="20"/>
          <w:rtl w:val="0"/>
        </w:rPr>
        <w:t xml:space="preserve">si Vás dovolujeme pozvat na seminář</w:t>
      </w:r>
    </w:p>
    <w:p w:rsidR="00000000" w:rsidDel="00000000" w:rsidP="00000000" w:rsidRDefault="00000000" w:rsidRPr="00000000" w14:paraId="0000000F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color w:val="3366ff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b w:val="1"/>
          <w:bCs w:val="1"/>
          <w:color w:val="0070c0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70c0"/>
          <w:sz w:val="48"/>
          <w:szCs w:val="48"/>
          <w:rtl w:val="0"/>
        </w:rPr>
        <w:t xml:space="preserve">„</w:t>
      </w:r>
      <w:r w:rsidDel="00000000" w:rsidR="00000000" w:rsidRPr="00000000">
        <w:rPr>
          <w:b w:val="1"/>
          <w:bCs w:val="1"/>
          <w:color w:val="0070c0"/>
          <w:sz w:val="48"/>
          <w:szCs w:val="48"/>
          <w:rtl w:val="0"/>
        </w:rPr>
        <w:t xml:space="preserve">Správní řád v agendě sociálně-právní ochrany dětí na úrovni obce s rozšířenou působností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70c0"/>
          <w:sz w:val="48"/>
          <w:szCs w:val="48"/>
          <w:rtl w:val="0"/>
        </w:rPr>
        <w:t xml:space="preserve">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  <w:b w:val="1"/>
          <w:bCs w:val="1"/>
          <w:color w:val="44546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b w:val="1"/>
          <w:bCs w:val="1"/>
          <w:i w:val="0"/>
          <w:iCs w:val="0"/>
          <w:color w:val="7030a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7030a0"/>
          <w:sz w:val="24"/>
          <w:szCs w:val="24"/>
          <w:rtl w:val="0"/>
        </w:rPr>
        <w:t xml:space="preserve">Akreditace MPSV</w:t>
      </w:r>
      <w:r w:rsidDel="00000000" w:rsidR="00000000" w:rsidRPr="00000000">
        <w:rPr>
          <w:rFonts w:ascii="Arial" w:cs="Arial" w:eastAsia="Arial" w:hAnsi="Arial"/>
          <w:color w:val="7030a0"/>
          <w:sz w:val="24"/>
          <w:szCs w:val="24"/>
          <w:rtl w:val="0"/>
        </w:rPr>
        <w:t xml:space="preserve">: „</w:t>
      </w:r>
      <w:r w:rsidDel="00000000" w:rsidR="00000000" w:rsidRPr="00000000">
        <w:rPr>
          <w:rFonts w:ascii="Arial" w:cs="Arial" w:eastAsia="Arial" w:hAnsi="Arial"/>
          <w:b w:val="1"/>
          <w:bCs w:val="1"/>
          <w:color w:val="7030a0"/>
          <w:sz w:val="24"/>
          <w:szCs w:val="24"/>
          <w:rtl w:val="0"/>
        </w:rPr>
        <w:t xml:space="preserve">Správní řád v agendě sociálně-právní ochrany dětí na úrovni obce s rozšířenou působností</w:t>
      </w:r>
      <w:r w:rsidDel="00000000" w:rsidR="00000000" w:rsidRPr="00000000">
        <w:rPr>
          <w:rFonts w:ascii="Arial" w:cs="Arial" w:eastAsia="Arial" w:hAnsi="Arial"/>
          <w:color w:val="7030a0"/>
          <w:sz w:val="24"/>
          <w:szCs w:val="24"/>
          <w:rtl w:val="0"/>
        </w:rPr>
        <w:t xml:space="preserve">“</w:t>
      </w:r>
      <w:r w:rsidDel="00000000" w:rsidR="00000000" w:rsidRPr="00000000">
        <w:rPr>
          <w:rFonts w:ascii="Arial" w:cs="Arial" w:eastAsia="Arial" w:hAnsi="Arial"/>
          <w:b w:val="1"/>
          <w:bCs w:val="1"/>
          <w:color w:val="7030a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7030a0"/>
          <w:sz w:val="24"/>
          <w:szCs w:val="24"/>
          <w:rtl w:val="0"/>
        </w:rPr>
        <w:t xml:space="preserve">A2023/0917-SP</w:t>
      </w:r>
      <w:r w:rsidDel="00000000" w:rsidR="00000000" w:rsidRPr="00000000">
        <w:rPr>
          <w:rFonts w:ascii="Arial" w:cs="Arial" w:eastAsia="Arial" w:hAnsi="Arial"/>
          <w:i w:val="1"/>
          <w:iCs w:val="1"/>
          <w:color w:val="7030a0"/>
          <w:sz w:val="24"/>
          <w:szCs w:val="24"/>
          <w:rtl w:val="0"/>
        </w:rPr>
        <w:t xml:space="preserve"> (8. hodin) kombinovaná forma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  <w:color w:val="4472c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rtl w:val="0"/>
        </w:rPr>
        <w:t xml:space="preserve">akreditace MVČR</w:t>
      </w:r>
      <w:r w:rsidDel="00000000" w:rsidR="00000000" w:rsidRPr="00000000">
        <w:rPr>
          <w:rFonts w:ascii="Arial" w:cs="Arial" w:eastAsia="Arial" w:hAnsi="Arial"/>
          <w:color w:val="4472c4"/>
          <w:rtl w:val="0"/>
        </w:rPr>
        <w:t xml:space="preserve">: „</w:t>
      </w:r>
      <w:r w:rsidDel="00000000" w:rsidR="00000000" w:rsidRPr="00000000">
        <w:rPr>
          <w:b w:val="1"/>
          <w:bCs w:val="1"/>
          <w:color w:val="4472c4"/>
          <w:rtl w:val="0"/>
        </w:rPr>
        <w:t xml:space="preserve">Správní řád v agendě sociálně-právní ochrany dětí na úrovni obce s rozšířenou působností</w:t>
      </w:r>
      <w:r w:rsidDel="00000000" w:rsidR="00000000" w:rsidRPr="00000000">
        <w:rPr>
          <w:color w:val="4472c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rtl w:val="0"/>
        </w:rPr>
        <w:t xml:space="preserve">(videokurz)</w:t>
      </w:r>
      <w:r w:rsidDel="00000000" w:rsidR="00000000" w:rsidRPr="00000000">
        <w:rPr>
          <w:rFonts w:ascii="Arial" w:cs="Arial" w:eastAsia="Arial" w:hAnsi="Arial"/>
          <w:color w:val="4472c4"/>
          <w:rtl w:val="0"/>
        </w:rPr>
        <w:t xml:space="preserve">“</w:t>
      </w:r>
      <w:r w:rsidDel="00000000" w:rsidR="00000000" w:rsidRPr="00000000">
        <w:rPr>
          <w:color w:val="4472c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4472c4"/>
          <w:sz w:val="24"/>
          <w:szCs w:val="24"/>
          <w:rtl w:val="0"/>
        </w:rPr>
        <w:t xml:space="preserve">(program vypracovaný dle zákona č. 312/2002 Sb., o úřednících ÚSC v aktuálním znění. (8 hodin)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24"/>
          <w:szCs w:val="24"/>
          <w:rtl w:val="0"/>
        </w:rPr>
        <w:t xml:space="preserve">Akreditace vzdělávací instituce AK/I-53/2017</w:t>
      </w:r>
      <w:r w:rsidDel="00000000" w:rsidR="00000000" w:rsidRPr="00000000">
        <w:rPr>
          <w:rtl w:val="0"/>
        </w:rPr>
      </w:r>
    </w:p>
    <w:tbl>
      <w:tblPr>
        <w:tblStyle w:val="Table2"/>
        <w:tblW w:w="10708.0" w:type="dxa"/>
        <w:jc w:val="left"/>
        <w:tblInd w:w="15.0" w:type="dxa"/>
        <w:tblLayout w:type="fixed"/>
        <w:tblLook w:val="0400"/>
      </w:tblPr>
      <w:tblGrid>
        <w:gridCol w:w="3513"/>
        <w:gridCol w:w="7195"/>
        <w:tblGridChange w:id="0">
          <w:tblGrid>
            <w:gridCol w:w="3513"/>
            <w:gridCol w:w="7195"/>
          </w:tblGrid>
        </w:tblGridChange>
      </w:tblGrid>
      <w:tr>
        <w:trPr>
          <w:cantSplit w:val="0"/>
          <w:trHeight w:val="642" w:hRule="atLeast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shd w:fill="00a4de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Správní řád v agendě sociálně-právní ochrany dětí na úrovni obce s rozšířenou působností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(videokurz)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7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Akreditace: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hd w:fill="ffffff" w:val="clear"/>
              <w:spacing w:after="0" w:before="40" w:line="240" w:lineRule="auto"/>
              <w:ind w:right="72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800080"/>
                <w:sz w:val="20"/>
                <w:szCs w:val="20"/>
                <w:rtl w:val="0"/>
              </w:rPr>
              <w:t xml:space="preserve">MPSV: A2023/0917-SP (8. hodin) online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333399"/>
                <w:sz w:val="20"/>
                <w:szCs w:val="20"/>
                <w:rtl w:val="0"/>
              </w:rPr>
              <w:t xml:space="preserve">MVČR: </w:t>
            </w:r>
            <w:r w:rsidDel="00000000" w:rsidR="00000000" w:rsidRPr="00000000">
              <w:rPr>
                <w:rFonts w:ascii="Calibri" w:cs="Calibri" w:eastAsia="Calibri" w:hAnsi="Calibri"/>
                <w:color w:val="4472c4"/>
                <w:rtl w:val="0"/>
              </w:rPr>
              <w:t xml:space="preserve">(program vypracovaný dle zákona č. 312/2002 Sb., o úřednících ÚSC v aktuálním znění. (8 hodin)) Akreditace vzdělávací instituce AK/I-53/2017 (videokurz)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Variabilní symbol: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202601125</w:t>
            </w:r>
          </w:p>
        </w:tc>
      </w:tr>
      <w:tr>
        <w:trPr>
          <w:cantSplit w:val="0"/>
          <w:trHeight w:val="590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Přednáší: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Mgr. Bc. Mgr. Bc. Martin Doležal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, SWE (Social Work England), člen Profesní komory sociálně-právní ochrany dětí (PKSPOD)</w:t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Termín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24.11. 2026 (úterý) od 8,00 hod.</w:t>
            </w:r>
            <w:r w:rsidDel="00000000" w:rsidR="00000000" w:rsidRPr="00000000">
              <w:rPr>
                <w:color w:val="00206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(prezence od 7,30hod – 8,00 hod.)</w:t>
              <w:br w:type="textWrapping"/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Místo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ON-LINE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Cena: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c00000"/>
                <w:sz w:val="24"/>
                <w:szCs w:val="24"/>
                <w:rtl w:val="0"/>
              </w:rPr>
              <w:t xml:space="preserve">1 990 Kč / osoba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Organizace: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TOP. Semináře s.r.o.  IČ: 06546897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tabs>
          <w:tab w:val="left" w:leader="none" w:pos="10195"/>
        </w:tabs>
        <w:spacing w:after="0" w:before="40" w:line="240" w:lineRule="auto"/>
        <w:ind w:right="-11"/>
        <w:jc w:val="both"/>
        <w:rPr>
          <w:rFonts w:ascii="Arial" w:cs="Arial" w:eastAsia="Arial" w:hAnsi="Arial"/>
          <w:b w:val="1"/>
          <w:bCs w:val="1"/>
          <w:color w:val="00b0f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Anotace</w:t>
      </w:r>
    </w:p>
    <w:p w:rsidR="00000000" w:rsidDel="00000000" w:rsidP="00000000" w:rsidRDefault="00000000" w:rsidRPr="00000000" w14:paraId="00000028">
      <w:pPr>
        <w:rPr>
          <w:b w:val="1"/>
          <w:bCs w:val="1"/>
          <w:sz w:val="28"/>
          <w:szCs w:val="28"/>
        </w:rPr>
      </w:pPr>
      <w:bookmarkStart w:colFirst="0" w:colLast="0" w:name="_b92eg4rsvodt" w:id="0"/>
      <w:bookmarkEnd w:id="0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Seminář je určen vedoucím a řadovým pracovníkům OSPOD a je věnován jednotlivým typům správních řízení a postupu v řízení, které probíhají na obecním úřadě obce s rozšířenou působností v agendě sociálně-právní ochrany dětí. Bude věnován hlavním částem správního řízení, jeho postupu a seznámí posluchače s formuláři, které mohou ve své praxi použít. Jedná se především o správní řízení ve věci výchovných opatření: dohled, omezení, využití odborné služby, ve věci uložení povinnosti ve správním řízení, v řízení o vydaní souhlasu dle § 16b ZSPOD, v řízení o vydání o zamítnutí žádosti o vydání souhlasu s poskytováním ochrany a pomoci dítěti dle § 42a odst. 6 písm.  a) ZSPOD, v řízení o zamítnutí žádosti o vydání souhlasu s prodloužením trvání smlouvy o poskytování ochrany a pomoc § 42a odst. 6 písm.  b) ZSPOD, v řízení o zastavení řízení o žádostech podle § 16b odst. 1 písm. a) nebo b) ZSPOD, ve věci řízení o zrušení souhlasu podle § 16b odst. 5 ZSPOD, seznámení se s příkazním řízení dle § 150 SpŘ, ve věci vydávání písemného souhlasu s pobytem dítěte mimo zařízení dle 30 odst. 1 a dle § 154 SpŘ (vydání osvědčení), ve věci Zrušení rozhodnutí o uložení výchovného opatření ve správním řízení dle § 13 odst. 4 ZSPOD a dalších řízeních.</w:t>
      </w:r>
    </w:p>
    <w:p w:rsidR="00000000" w:rsidDel="00000000" w:rsidP="00000000" w:rsidRDefault="00000000" w:rsidRPr="00000000" w14:paraId="00000029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Cílové kompetence</w:t>
      </w:r>
    </w:p>
    <w:p w:rsidR="00000000" w:rsidDel="00000000" w:rsidP="00000000" w:rsidRDefault="00000000" w:rsidRPr="00000000" w14:paraId="0000002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Posluchači po absolvování semináře budou mít jasnou představuji, jak vést správní řízení v různých situacích, jaké pomůcky používat, aby nedošlo ke zbytečným chybám, posluchači budou seznámeni s nezbytnou dokumentací a budou mít k dispozici formuláře pro všechny typy řízení, které jsou zmíněny v prezentaci. Cílem je ovládnout správní řízení a využívat ho při práci s cílovou skupinou dětí a jejich rodin při výkonu sociálně-právní ochrany dětí.</w:t>
      </w:r>
    </w:p>
    <w:p w:rsidR="00000000" w:rsidDel="00000000" w:rsidP="00000000" w:rsidRDefault="00000000" w:rsidRPr="00000000" w14:paraId="0000002B">
      <w:pPr>
        <w:spacing w:after="0" w:before="40" w:line="240" w:lineRule="auto"/>
        <w:ind w:right="720"/>
        <w:rPr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before="40" w:line="240" w:lineRule="auto"/>
        <w:ind w:right="720"/>
        <w:rPr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i w:val="1"/>
          <w:iCs w:val="1"/>
          <w:color w:val="00b0f0"/>
          <w:sz w:val="20"/>
          <w:szCs w:val="20"/>
          <w:rtl w:val="0"/>
        </w:rPr>
        <w:t xml:space="preserve">Součástí ceny je osvědčení o absolvování semináře, materiály k tématu v elektronické podobě. </w:t>
      </w:r>
    </w:p>
    <w:p w:rsidR="00000000" w:rsidDel="00000000" w:rsidP="00000000" w:rsidRDefault="00000000" w:rsidRPr="00000000" w14:paraId="0000002D">
      <w:pPr>
        <w:spacing w:after="0" w:before="40" w:line="240" w:lineRule="auto"/>
        <w:ind w:right="720"/>
        <w:rPr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Jak se přihlásit: 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before="40" w:line="240" w:lineRule="auto"/>
        <w:ind w:right="-153"/>
        <w:rPr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color w:val="595959"/>
          <w:sz w:val="20"/>
          <w:szCs w:val="20"/>
          <w:rtl w:val="0"/>
        </w:rPr>
        <w:t xml:space="preserve">Zaplaťte účastnický poplatek a vyplňte přihlašovací formulář, prostřednictvím našich webových stránek </w:t>
      </w:r>
      <w:hyperlink r:id="rId8">
        <w:r w:rsidDel="00000000" w:rsidR="00000000" w:rsidRPr="00000000">
          <w:rPr>
            <w:color w:val="0000ff"/>
            <w:sz w:val="20"/>
            <w:szCs w:val="20"/>
            <w:u w:val="single"/>
            <w:rtl w:val="0"/>
          </w:rPr>
          <w:t xml:space="preserve">www.topseminare.cz</w:t>
        </w:r>
      </w:hyperlink>
      <w:r w:rsidDel="00000000" w:rsidR="00000000" w:rsidRPr="00000000">
        <w:rPr>
          <w:color w:val="595959"/>
          <w:sz w:val="20"/>
          <w:szCs w:val="20"/>
          <w:rtl w:val="0"/>
        </w:rPr>
        <w:t xml:space="preserve"> .</w:t>
      </w:r>
      <w:r w:rsidDel="00000000" w:rsidR="00000000" w:rsidRPr="00000000">
        <w:rPr>
          <w:b w:val="1"/>
          <w:bCs w:val="1"/>
          <w:color w:val="595959"/>
          <w:sz w:val="20"/>
          <w:szCs w:val="20"/>
          <w:rtl w:val="0"/>
        </w:rPr>
        <w:t xml:space="preserve"> Úředníci ÚSC mohou realizovat platbu za seminář až po obdržení faktury po semináři</w:t>
      </w:r>
      <w:r w:rsidDel="00000000" w:rsidR="00000000" w:rsidRPr="00000000">
        <w:rPr>
          <w:color w:val="595959"/>
          <w:sz w:val="20"/>
          <w:szCs w:val="20"/>
          <w:rtl w:val="0"/>
        </w:rPr>
        <w:t xml:space="preserve">. Nejasnosti a dotazy rádi vyřídíme telefonicky či emailem (kontakty viz výše nebo na webových stránkách). </w:t>
      </w:r>
      <w:r w:rsidDel="00000000" w:rsidR="00000000" w:rsidRPr="00000000">
        <w:rPr>
          <w:b w:val="1"/>
          <w:bCs w:val="1"/>
          <w:color w:val="595959"/>
          <w:sz w:val="20"/>
          <w:szCs w:val="20"/>
          <w:rtl w:val="0"/>
        </w:rPr>
        <w:t xml:space="preserve">Ve lhůtě tři dny a méně před konáním akce není možné zrušit účast na semináři. Kdykoli je možné nahlásit náhradníka na </w:t>
      </w:r>
      <w:hyperlink r:id="rId9">
        <w:r w:rsidDel="00000000" w:rsidR="00000000" w:rsidRPr="00000000">
          <w:rPr>
            <w:b w:val="1"/>
            <w:bCs w:val="1"/>
            <w:color w:val="0000ff"/>
            <w:sz w:val="20"/>
            <w:szCs w:val="20"/>
            <w:u w:val="single"/>
            <w:rtl w:val="0"/>
          </w:rPr>
          <w:t xml:space="preserve">info@topseminare.cz</w:t>
        </w:r>
      </w:hyperlink>
      <w:r w:rsidDel="00000000" w:rsidR="00000000" w:rsidRPr="00000000">
        <w:rPr>
          <w:b w:val="1"/>
          <w:bCs w:val="1"/>
          <w:color w:val="595959"/>
          <w:sz w:val="20"/>
          <w:szCs w:val="20"/>
          <w:rtl w:val="0"/>
        </w:rPr>
        <w:t xml:space="preserve">. </w:t>
      </w:r>
    </w:p>
    <w:p w:rsidR="00000000" w:rsidDel="00000000" w:rsidP="00000000" w:rsidRDefault="00000000" w:rsidRPr="00000000" w14:paraId="0000002F">
      <w:pPr>
        <w:spacing w:after="0" w:before="40" w:line="240" w:lineRule="auto"/>
        <w:ind w:left="720" w:right="-153" w:firstLine="0"/>
        <w:jc w:val="both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before="40" w:line="240" w:lineRule="auto"/>
        <w:ind w:right="-153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Zaplacení a smluvní podmínky: </w:t>
      </w:r>
    </w:p>
    <w:p w:rsidR="00000000" w:rsidDel="00000000" w:rsidP="00000000" w:rsidRDefault="00000000" w:rsidRPr="00000000" w14:paraId="00000031">
      <w:pPr>
        <w:spacing w:after="0" w:before="40" w:line="240" w:lineRule="auto"/>
        <w:ind w:right="-11"/>
        <w:jc w:val="both"/>
        <w:rPr>
          <w:color w:val="595959"/>
          <w:sz w:val="20"/>
          <w:szCs w:val="20"/>
        </w:rPr>
      </w:pPr>
      <w:r w:rsidDel="00000000" w:rsidR="00000000" w:rsidRPr="00000000">
        <w:rPr>
          <w:color w:val="595959"/>
          <w:sz w:val="20"/>
          <w:szCs w:val="20"/>
          <w:rtl w:val="0"/>
        </w:rPr>
        <w:t xml:space="preserve">Úhradu semináře proveďte na náš </w:t>
      </w:r>
      <w:r w:rsidDel="00000000" w:rsidR="00000000" w:rsidRPr="00000000">
        <w:rPr>
          <w:b w:val="1"/>
          <w:bCs w:val="1"/>
          <w:i w:val="1"/>
          <w:iCs w:val="1"/>
          <w:color w:val="ff0000"/>
          <w:sz w:val="20"/>
          <w:szCs w:val="20"/>
          <w:rtl w:val="0"/>
        </w:rPr>
        <w:t xml:space="preserve">účet č. 5000500032/5500 Raiffeisen Bank</w:t>
      </w:r>
      <w:r w:rsidDel="00000000" w:rsidR="00000000" w:rsidRPr="00000000">
        <w:rPr>
          <w:color w:val="595959"/>
          <w:sz w:val="20"/>
          <w:szCs w:val="20"/>
          <w:rtl w:val="0"/>
        </w:rPr>
        <w:t xml:space="preserve">, neopomeňte uvést správný variabilní symbol. Daňový doklad obdrží účastníci v den konání semináře. V případě neúčasti se vložné nevrací, ale je možné poslat náhradníka. </w:t>
      </w:r>
    </w:p>
    <w:p w:rsidR="00000000" w:rsidDel="00000000" w:rsidP="00000000" w:rsidRDefault="00000000" w:rsidRPr="00000000" w14:paraId="00000032">
      <w:pPr>
        <w:spacing w:after="0" w:before="40" w:line="240" w:lineRule="auto"/>
        <w:ind w:left="720" w:right="720" w:firstLine="0"/>
        <w:jc w:val="both"/>
        <w:rPr>
          <w:rFonts w:ascii="Arial" w:cs="Arial" w:eastAsia="Arial" w:hAnsi="Arial"/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before="40" w:line="240" w:lineRule="auto"/>
        <w:ind w:left="720" w:right="720" w:firstLine="0"/>
        <w:jc w:val="both"/>
        <w:rPr>
          <w:rFonts w:ascii="Times New Roman" w:cs="Times New Roman" w:eastAsia="Times New Roman" w:hAnsi="Times New Roman"/>
          <w:b w:val="1"/>
          <w:bCs w:val="1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360" w:before="40" w:line="240" w:lineRule="auto"/>
        <w:ind w:left="720" w:right="720" w:firstLine="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headerReference r:id="rId12" w:type="even"/>
      <w:footerReference r:id="rId13" w:type="default"/>
      <w:footerReference r:id="rId14" w:type="first"/>
      <w:footerReference r:id="rId15" w:type="even"/>
      <w:pgSz w:h="16838" w:w="11906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Trebuchet MS"/>
  <w:font w:name="Twentieth Centur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info@topseminare.cz" TargetMode="External"/><Relationship Id="rId15" Type="http://schemas.openxmlformats.org/officeDocument/2006/relationships/footer" Target="footer1.xml"/><Relationship Id="rId1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yperlink" Target="http://www.topseminare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