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95" cy="2141220"/>
                            <a:chOff x="1222300" y="2709375"/>
                            <a:chExt cx="8247390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375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80" cy="2141220"/>
                              <a:chOff x="-7144" y="-7144"/>
                              <a:chExt cx="6005513" cy="19240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-7144" y="-7144"/>
                                <a:ext cx="6005500" cy="192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2121694" y="-7144"/>
                                <a:ext cx="3876675" cy="1762125"/>
                              </a:xfrm>
                              <a:custGeom>
                                <a:rect b="b" l="l" r="r" t="t"/>
                                <a:pathLst>
                                  <a:path extrusionOk="0" h="1762125" w="3876675">
                                    <a:moveTo>
                                      <a:pt x="3869531" y="1359694"/>
                                    </a:moveTo>
                                    <a:cubicBezTo>
                                      <a:pt x="3869531" y="1359694"/>
                                      <a:pt x="3379946" y="1834039"/>
                                      <a:pt x="2359819" y="1744504"/>
                                    </a:cubicBezTo>
                                    <a:cubicBezTo>
                                      <a:pt x="1339691" y="1654969"/>
                                      <a:pt x="936784" y="1180624"/>
                                      <a:pt x="7144" y="1287304"/>
                                    </a:cubicBezTo>
                                    <a:lnTo>
                                      <a:pt x="7144" y="7144"/>
                                    </a:lnTo>
                                    <a:lnTo>
                                      <a:pt x="3869531" y="7144"/>
                                    </a:lnTo>
                                    <a:lnTo>
                                      <a:pt x="3869531" y="13596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83C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-7144" y="-7144"/>
                                <a:ext cx="6000750" cy="1924050"/>
                              </a:xfrm>
                              <a:custGeom>
                                <a:rect b="b" l="l" r="r" t="t"/>
                                <a:pathLst>
                                  <a:path extrusionOk="0" h="1924050" w="6000750">
                                    <a:moveTo>
                                      <a:pt x="7144" y="1699736"/>
                                    </a:moveTo>
                                    <a:cubicBezTo>
                                      <a:pt x="7144" y="1699736"/>
                                      <a:pt x="1410176" y="2317909"/>
                                      <a:pt x="2934176" y="1484471"/>
                                    </a:cubicBezTo>
                                    <a:cubicBezTo>
                                      <a:pt x="4459129" y="651986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lnTo>
                                      <a:pt x="7144" y="1699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ADE4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-7144" y="-7144"/>
                                <a:ext cx="6000750" cy="904875"/>
                              </a:xfrm>
                              <a:custGeom>
                                <a:rect b="b" l="l" r="r" t="t"/>
                                <a:pathLst>
                                  <a:path extrusionOk="0" h="904875" w="6000750">
                                    <a:moveTo>
                                      <a:pt x="7144" y="7144"/>
                                    </a:moveTo>
                                    <a:lnTo>
                                      <a:pt x="7144" y="613886"/>
                                    </a:lnTo>
                                    <a:cubicBezTo>
                                      <a:pt x="647224" y="1034891"/>
                                      <a:pt x="2136934" y="964406"/>
                                      <a:pt x="3546634" y="574834"/>
                                    </a:cubicBezTo>
                                    <a:cubicBezTo>
                                      <a:pt x="4882039" y="205264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1CADE4"/>
                                  </a:gs>
                                  <a:gs pos="100000">
                                    <a:srgbClr val="75CEEF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3176111" y="924401"/>
                                <a:ext cx="2819400" cy="828675"/>
                              </a:xfrm>
                              <a:custGeom>
                                <a:rect b="b" l="l" r="r" t="t"/>
                                <a:pathLst>
                                  <a:path extrusionOk="0" h="828675" w="2819400">
                                    <a:moveTo>
                                      <a:pt x="7144" y="481489"/>
                                    </a:moveTo>
                                    <a:cubicBezTo>
                                      <a:pt x="380524" y="602456"/>
                                      <a:pt x="751999" y="764381"/>
                                      <a:pt x="1305401" y="812959"/>
                                    </a:cubicBezTo>
                                    <a:cubicBezTo>
                                      <a:pt x="2325529" y="902494"/>
                                      <a:pt x="2815114" y="428149"/>
                                      <a:pt x="2815114" y="428149"/>
                                    </a:cubicBezTo>
                                    <a:lnTo>
                                      <a:pt x="2815114" y="7144"/>
                                    </a:lnTo>
                                    <a:cubicBezTo>
                                      <a:pt x="2332196" y="236696"/>
                                      <a:pt x="1376839" y="568166"/>
                                      <a:pt x="7144" y="481489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2683C6"/>
                                  </a:gs>
                                  <a:gs pos="100000">
                                    <a:srgbClr val="1C6294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5991225</wp:posOffset>
                  </wp:positionH>
                  <wp:positionV relativeFrom="paragraph">
                    <wp:posOffset>171698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right="720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472c4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2"/>
          <w:szCs w:val="32"/>
          <w:rtl w:val="0"/>
        </w:rPr>
        <w:t xml:space="preserve">„Sociální sítě, vliv a rizika internetu na děti a mladistvé, zásadní informace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472c4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2"/>
          <w:szCs w:val="32"/>
          <w:rtl w:val="0"/>
        </w:rPr>
        <w:t xml:space="preserve">pro sociální práci s rodinným systémem“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rFonts w:ascii="Times New Roman" w:cs="Times New Roman" w:eastAsia="Times New Roman" w:hAnsi="Times New Roman"/>
          <w:color w:val="7030a0"/>
          <w:sz w:val="24"/>
          <w:szCs w:val="24"/>
          <w:rtl w:val="0"/>
        </w:rPr>
        <w:t xml:space="preserve">Sociální sítě, vliv a rizika internetu na děti a mladistvé, zásadní informace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7030a0"/>
          <w:sz w:val="24"/>
          <w:szCs w:val="24"/>
          <w:rtl w:val="0"/>
        </w:rPr>
        <w:t xml:space="preserve">pro sociální práci s rodinným systémem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A2025/0167-SP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color w:val="4472c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„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Sociální sítě, vliv a rizika internetu na děti a mladistvé, zásadní informace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pro sociální práci s rodinným systémem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“</w:t>
      </w:r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Sociální sítě, vliv a rizika internetu na děti a mladistvé, zásadní informace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pro sociální práci s rodinným systémem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(videokurz)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NOVINKA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A2025/0167-SP/PC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 online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202601129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Bc. Kateřina Šutorková</w:t>
            </w:r>
          </w:p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(adiktolog, terapeut s bohatou praxí, zkušená lektorka s  praxí v oblasti přednášené problematiky)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6.11. 2026 (pátek)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E">
      <w:pPr>
        <w:jc w:val="both"/>
        <w:rPr>
          <w:b w:val="1"/>
          <w:bCs w:val="1"/>
          <w:sz w:val="28"/>
          <w:szCs w:val="28"/>
        </w:rPr>
      </w:pPr>
      <w:bookmarkStart w:colFirst="0" w:colLast="0" w:name="_rmskpcuznke9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Seminář se zaměřuje na ohrožené dítěte, a to zejména ve spojení se světem internetu. Po výkladu, který je zaměřen na charakteristiku současného internetového prostředí a jeho využívání dětmi se seminář věnuje zejména rizikům hrozícím dětem ve spojení s používáním internetu. Rovněž dojde na prevenci, která je rovněž náplní sociálního poradenství OSPOD. Vzhledem k značnému nebezpečí sexuálního zneužití dítěte ve spojení s internetovými riziky je další obsah semináře věnován právě sexuálnímu zneužívání dětí. V neposlední řadě pak dojde na kybergrooming, včetně hrozících nebezpečí dětským uživatelům internetu. V této části dojde opět k zaměření se na prevenci jak z pohledu dětí, tak i jejich rodičů. Na závěr proběhne rekapitulace a diskuse k probrané problematice.</w:t>
      </w:r>
    </w:p>
    <w:p w:rsidR="00000000" w:rsidDel="00000000" w:rsidP="00000000" w:rsidRDefault="00000000" w:rsidRPr="00000000" w14:paraId="0000002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65" w:right="0" w:hanging="705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kurzu si doplňují informace o charakteristikách digitálního prostředí, včetně sociálních médií, herních platforem a dalších online aktivit, a jak ovlivňují chování a psychiku dětí.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65" w:right="0" w:hanging="705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kurzu si upevňují znalosti, jak identifikovat různé typy rizik, jako jsou kyberšikana, online predátorství, dezinformace a vliv nevhodného obsahu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65" w:right="0" w:hanging="705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kurzu si obnovují rozvoj dovedností potřebných pro krizovou intervenci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65" w:right="0" w:hanging="705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kurzu si obnovují informace, jak podpořit spolupráci mezi sociálními pracovníky, školami, neziskovými organizacemi a dalšími subjekty v oblasti ochrany dětí v digitálním prostředí.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8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A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C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D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1065" w:hanging="705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