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120" w:line="240" w:lineRule="auto"/>
        <w:ind w:left="720" w:right="720" w:firstLine="0"/>
        <w:rPr>
          <w:rFonts w:ascii="Twentieth Century" w:cs="Twentieth Century" w:eastAsia="Twentieth Century" w:hAnsi="Twentieth Century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-457195</wp:posOffset>
                </wp:positionH>
                <wp:positionV relativeFrom="paragraph">
                  <wp:posOffset>-457828</wp:posOffset>
                </wp:positionV>
                <wp:extent cx="8247380" cy="2141220"/>
                <wp:effectExtent b="0" l="0" r="0" t="0"/>
                <wp:wrapNone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222300" y="2709375"/>
                          <a:ext cx="8247380" cy="2141220"/>
                          <a:chOff x="1222300" y="2709375"/>
                          <a:chExt cx="8247400" cy="2141250"/>
                        </a:xfrm>
                      </wpg:grpSpPr>
                      <wpg:grpSp>
                        <wpg:cNvGrpSpPr/>
                        <wpg:grpSpPr>
                          <a:xfrm>
                            <a:off x="1222310" y="2709390"/>
                            <a:ext cx="8247380" cy="2141220"/>
                            <a:chOff x="1222300" y="2709375"/>
                            <a:chExt cx="8247400" cy="214125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1222300" y="2709375"/>
                              <a:ext cx="8247400" cy="2141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1222310" y="2709390"/>
                              <a:ext cx="8247385" cy="2141220"/>
                              <a:chOff x="1222300" y="2709375"/>
                              <a:chExt cx="8247405" cy="2141250"/>
                            </a:xfrm>
                          </wpg:grpSpPr>
                          <wps:wsp>
                            <wps:cNvSpPr/>
                            <wps:cNvPr id="5" name="Shape 5"/>
                            <wps:spPr>
                              <a:xfrm>
                                <a:off x="1222300" y="2709375"/>
                                <a:ext cx="8247400" cy="2141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1222310" y="2709390"/>
                                <a:ext cx="8247395" cy="2141220"/>
                                <a:chOff x="1222300" y="2709375"/>
                                <a:chExt cx="8247390" cy="2141250"/>
                              </a:xfrm>
                            </wpg:grpSpPr>
                            <wps:wsp>
                              <wps:cNvSpPr/>
                              <wps:cNvPr id="7" name="Shape 7"/>
                              <wps:spPr>
                                <a:xfrm>
                                  <a:off x="1222300" y="2709375"/>
                                  <a:ext cx="8247375" cy="2141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1222310" y="2709390"/>
                                  <a:ext cx="8247380" cy="2141220"/>
                                  <a:chOff x="-7144" y="-7144"/>
                                  <a:chExt cx="6005513" cy="1924050"/>
                                </a:xfrm>
                              </wpg:grpSpPr>
                              <wps:wsp>
                                <wps:cNvSpPr/>
                                <wps:cNvPr id="9" name="Shape 9"/>
                                <wps:spPr>
                                  <a:xfrm>
                                    <a:off x="-7144" y="-7144"/>
                                    <a:ext cx="6005500" cy="19240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0" name="Shape 10"/>
                                <wps:spPr>
                                  <a:xfrm>
                                    <a:off x="2121694" y="-7144"/>
                                    <a:ext cx="3876675" cy="176212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762125" w="3876675">
                                        <a:moveTo>
                                          <a:pt x="3869531" y="1359694"/>
                                        </a:moveTo>
                                        <a:cubicBezTo>
                                          <a:pt x="3869531" y="1359694"/>
                                          <a:pt x="3379946" y="1834039"/>
                                          <a:pt x="2359819" y="1744504"/>
                                        </a:cubicBezTo>
                                        <a:cubicBezTo>
                                          <a:pt x="1339691" y="1654969"/>
                                          <a:pt x="936784" y="1180624"/>
                                          <a:pt x="7144" y="1287304"/>
                                        </a:cubicBezTo>
                                        <a:lnTo>
                                          <a:pt x="7144" y="7144"/>
                                        </a:lnTo>
                                        <a:lnTo>
                                          <a:pt x="3869531" y="7144"/>
                                        </a:lnTo>
                                        <a:lnTo>
                                          <a:pt x="3869531" y="135969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2683C6"/>
                                  </a:solidFill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1" name="Shape 11"/>
                                <wps:spPr>
                                  <a:xfrm>
                                    <a:off x="-7144" y="-7144"/>
                                    <a:ext cx="6000750" cy="19240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924050" w="6000750">
                                        <a:moveTo>
                                          <a:pt x="7144" y="1699736"/>
                                        </a:moveTo>
                                        <a:cubicBezTo>
                                          <a:pt x="7144" y="1699736"/>
                                          <a:pt x="1410176" y="2317909"/>
                                          <a:pt x="2934176" y="1484471"/>
                                        </a:cubicBezTo>
                                        <a:cubicBezTo>
                                          <a:pt x="4459129" y="651986"/>
                                          <a:pt x="5998369" y="893921"/>
                                          <a:pt x="5998369" y="893921"/>
                                        </a:cubicBezTo>
                                        <a:lnTo>
                                          <a:pt x="5998369" y="7144"/>
                                        </a:lnTo>
                                        <a:lnTo>
                                          <a:pt x="7144" y="7144"/>
                                        </a:lnTo>
                                        <a:lnTo>
                                          <a:pt x="7144" y="1699736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1CADE4"/>
                                  </a:solidFill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2" name="Shape 12"/>
                                <wps:spPr>
                                  <a:xfrm>
                                    <a:off x="-7144" y="-7144"/>
                                    <a:ext cx="6000750" cy="9048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904875" w="6000750">
                                        <a:moveTo>
                                          <a:pt x="7144" y="7144"/>
                                        </a:moveTo>
                                        <a:lnTo>
                                          <a:pt x="7144" y="613886"/>
                                        </a:lnTo>
                                        <a:cubicBezTo>
                                          <a:pt x="647224" y="1034891"/>
                                          <a:pt x="2136934" y="964406"/>
                                          <a:pt x="3546634" y="574834"/>
                                        </a:cubicBezTo>
                                        <a:cubicBezTo>
                                          <a:pt x="4882039" y="205264"/>
                                          <a:pt x="5998369" y="893921"/>
                                          <a:pt x="5998369" y="893921"/>
                                        </a:cubicBezTo>
                                        <a:lnTo>
                                          <a:pt x="5998369" y="7144"/>
                                        </a:lnTo>
                                        <a:lnTo>
                                          <a:pt x="7144" y="714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adFill>
                                    <a:gsLst>
                                      <a:gs pos="0">
                                        <a:srgbClr val="1CADE4"/>
                                      </a:gs>
                                      <a:gs pos="100000">
                                        <a:srgbClr val="76CEEF"/>
                                      </a:gs>
                                    </a:gsLst>
                                    <a:lin ang="0" scaled="0"/>
                                  </a:gradFill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3" name="Shape 13"/>
                                <wps:spPr>
                                  <a:xfrm>
                                    <a:off x="3176111" y="924401"/>
                                    <a:ext cx="2819400" cy="8286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828675" w="2819400">
                                        <a:moveTo>
                                          <a:pt x="7144" y="481489"/>
                                        </a:moveTo>
                                        <a:cubicBezTo>
                                          <a:pt x="380524" y="602456"/>
                                          <a:pt x="751999" y="764381"/>
                                          <a:pt x="1305401" y="812959"/>
                                        </a:cubicBezTo>
                                        <a:cubicBezTo>
                                          <a:pt x="2325529" y="902494"/>
                                          <a:pt x="2815114" y="428149"/>
                                          <a:pt x="2815114" y="428149"/>
                                        </a:cubicBezTo>
                                        <a:lnTo>
                                          <a:pt x="2815114" y="7144"/>
                                        </a:lnTo>
                                        <a:cubicBezTo>
                                          <a:pt x="2332196" y="236696"/>
                                          <a:pt x="1376839" y="568166"/>
                                          <a:pt x="7144" y="481489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gradFill>
                                    <a:gsLst>
                                      <a:gs pos="0">
                                        <a:srgbClr val="2683C6"/>
                                      </a:gs>
                                      <a:gs pos="100000">
                                        <a:srgbClr val="1C6294"/>
                                      </a:gs>
                                    </a:gsLst>
                                    <a:lin ang="0" scaled="0"/>
                                  </a:gradFill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-457195</wp:posOffset>
                </wp:positionH>
                <wp:positionV relativeFrom="paragraph">
                  <wp:posOffset>-457828</wp:posOffset>
                </wp:positionV>
                <wp:extent cx="8247380" cy="214122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47380" cy="21412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1"/>
        <w:tblW w:w="10790.0" w:type="dxa"/>
        <w:jc w:val="center"/>
        <w:tblLayout w:type="fixed"/>
        <w:tblLook w:val="0600"/>
      </w:tblPr>
      <w:tblGrid>
        <w:gridCol w:w="10790"/>
        <w:tblGridChange w:id="0">
          <w:tblGrid>
            <w:gridCol w:w="10790"/>
          </w:tblGrid>
        </w:tblGridChange>
      </w:tblGrid>
      <w:tr>
        <w:trPr>
          <w:cantSplit w:val="0"/>
          <w:trHeight w:val="86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spacing w:after="0" w:line="240" w:lineRule="auto"/>
              <w:ind w:right="720"/>
              <w:rPr>
                <w:rFonts w:ascii="Twentieth Century" w:cs="Twentieth Century" w:eastAsia="Twentieth Century" w:hAnsi="Twentieth Century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64" w:hRule="atLeast"/>
          <w:tblHeader w:val="0"/>
        </w:trPr>
        <w:tc>
          <w:tcPr/>
          <w:p w:rsidR="00000000" w:rsidDel="00000000" w:rsidP="00000000" w:rsidRDefault="00000000" w:rsidRPr="00000000" w14:paraId="00000003">
            <w:pPr>
              <w:tabs>
                <w:tab w:val="left" w:leader="none" w:pos="1800"/>
              </w:tabs>
              <w:spacing w:after="0" w:before="40" w:line="240" w:lineRule="auto"/>
              <w:ind w:right="720"/>
              <w:rPr>
                <w:rFonts w:ascii="Twentieth Century" w:cs="Twentieth Century" w:eastAsia="Twentieth Century" w:hAnsi="Twentieth Century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64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04">
            <w:pPr>
              <w:tabs>
                <w:tab w:val="left" w:leader="none" w:pos="1800"/>
              </w:tabs>
              <w:spacing w:after="0" w:before="40" w:line="240" w:lineRule="auto"/>
              <w:ind w:right="72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            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TOP Semináře s.r.o.,</w:t>
            </w:r>
          </w:p>
          <w:p w:rsidR="00000000" w:rsidDel="00000000" w:rsidP="00000000" w:rsidRDefault="00000000" w:rsidRPr="00000000" w14:paraId="00000005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Vzdělávací agentura</w:t>
            </w:r>
          </w:p>
          <w:p w:rsidR="00000000" w:rsidDel="00000000" w:rsidP="00000000" w:rsidRDefault="00000000" w:rsidRPr="00000000" w14:paraId="00000006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Akreditace programů MPSV </w:t>
            </w:r>
          </w:p>
          <w:p w:rsidR="00000000" w:rsidDel="00000000" w:rsidP="00000000" w:rsidRDefault="00000000" w:rsidRPr="00000000" w14:paraId="00000007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Akreditovaná vzdělávací instituce MVČR AK/I-53/2017</w:t>
            </w:r>
          </w:p>
          <w:p w:rsidR="00000000" w:rsidDel="00000000" w:rsidP="00000000" w:rsidRDefault="00000000" w:rsidRPr="00000000" w14:paraId="00000008">
            <w:pPr>
              <w:tabs>
                <w:tab w:val="left" w:leader="none" w:pos="1125"/>
                <w:tab w:val="left" w:leader="none" w:pos="1800"/>
                <w:tab w:val="center" w:leader="none" w:pos="5097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Zátiší 476/12, Ostrava – Svinov, 721 00</w:t>
            </w:r>
            <w:r w:rsidDel="00000000" w:rsidR="00000000" w:rsidRPr="00000000">
              <w:drawing>
                <wp:anchor allowOverlap="1" behindDoc="1" distB="0" distT="0" distL="0" distR="0" hidden="0" layoutInCell="1" locked="0" relativeHeight="0" simplePos="0">
                  <wp:simplePos x="0" y="0"/>
                  <wp:positionH relativeFrom="column">
                    <wp:posOffset>6156960</wp:posOffset>
                  </wp:positionH>
                  <wp:positionV relativeFrom="paragraph">
                    <wp:posOffset>9525</wp:posOffset>
                  </wp:positionV>
                  <wp:extent cx="1021080" cy="1074420"/>
                  <wp:effectExtent b="0" l="0" r="0" t="0"/>
                  <wp:wrapNone/>
                  <wp:docPr id="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1080" cy="107442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09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IČ: 06546897 </w:t>
            </w:r>
          </w:p>
          <w:p w:rsidR="00000000" w:rsidDel="00000000" w:rsidP="00000000" w:rsidRDefault="00000000" w:rsidRPr="00000000" w14:paraId="0000000A">
            <w:pPr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Mobil:602 707 481, E-mail: info@topseminare.cz</w:t>
            </w:r>
          </w:p>
          <w:p w:rsidR="00000000" w:rsidDel="00000000" w:rsidP="00000000" w:rsidRDefault="00000000" w:rsidRPr="00000000" w14:paraId="0000000B">
            <w:pPr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více informací na: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www.topseminare.cz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tabs>
                <w:tab w:val="left" w:leader="none" w:pos="1800"/>
              </w:tabs>
              <w:spacing w:after="0" w:before="40" w:line="240" w:lineRule="auto"/>
              <w:ind w:right="720"/>
              <w:rPr>
                <w:rFonts w:ascii="Twentieth Century" w:cs="Twentieth Century" w:eastAsia="Twentieth Century" w:hAnsi="Twentieth Century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spacing w:after="40" w:before="840" w:line="240" w:lineRule="auto"/>
        <w:ind w:right="720"/>
        <w:rPr>
          <w:rFonts w:ascii="Twentieth Century" w:cs="Twentieth Century" w:eastAsia="Twentieth Century" w:hAnsi="Twentieth Century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b w:val="1"/>
          <w:bCs w:val="1"/>
          <w:color w:val="595959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595959"/>
          <w:sz w:val="20"/>
          <w:szCs w:val="20"/>
          <w:rtl w:val="0"/>
        </w:rPr>
        <w:t xml:space="preserve">si Vás dovolujeme pozvat na seminář</w:t>
      </w:r>
    </w:p>
    <w:p w:rsidR="00000000" w:rsidDel="00000000" w:rsidP="00000000" w:rsidRDefault="00000000" w:rsidRPr="00000000" w14:paraId="0000000F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b w:val="1"/>
          <w:bCs w:val="1"/>
          <w:color w:val="595959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b w:val="1"/>
          <w:bCs w:val="1"/>
          <w:color w:val="595959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color w:val="3366ff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rFonts w:ascii="Arial" w:cs="Arial" w:eastAsia="Arial" w:hAnsi="Arial"/>
          <w:b w:val="1"/>
          <w:bCs w:val="1"/>
          <w:color w:val="4472c4"/>
          <w:sz w:val="40"/>
          <w:szCs w:val="4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4472c4"/>
          <w:sz w:val="40"/>
          <w:szCs w:val="40"/>
          <w:rtl w:val="0"/>
        </w:rPr>
        <w:t xml:space="preserve">„Sociální ochrana – základní možnosti a dilemata sociálního pracovníka obce“</w:t>
      </w:r>
    </w:p>
    <w:p w:rsidR="00000000" w:rsidDel="00000000" w:rsidP="00000000" w:rsidRDefault="00000000" w:rsidRPr="00000000" w14:paraId="00000013">
      <w:pPr>
        <w:spacing w:after="360" w:before="40" w:line="240" w:lineRule="auto"/>
        <w:ind w:right="720"/>
        <w:jc w:val="center"/>
        <w:rPr>
          <w:rFonts w:ascii="Twentieth Century" w:cs="Twentieth Century" w:eastAsia="Twentieth Century" w:hAnsi="Twentieth Century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Arial" w:cs="Arial" w:eastAsia="Arial" w:hAnsi="Arial"/>
          <w:b w:val="1"/>
          <w:bCs w:val="1"/>
          <w:color w:val="44546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b w:val="1"/>
          <w:bCs w:val="1"/>
          <w:i w:val="0"/>
          <w:iCs w:val="0"/>
          <w:color w:val="7030a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7030a0"/>
          <w:sz w:val="24"/>
          <w:szCs w:val="24"/>
          <w:rtl w:val="0"/>
        </w:rPr>
        <w:t xml:space="preserve">Akreditace MPSV</w:t>
      </w:r>
      <w:r w:rsidDel="00000000" w:rsidR="00000000" w:rsidRPr="00000000">
        <w:rPr>
          <w:rFonts w:ascii="Arial" w:cs="Arial" w:eastAsia="Arial" w:hAnsi="Arial"/>
          <w:color w:val="7030a0"/>
          <w:sz w:val="24"/>
          <w:szCs w:val="24"/>
          <w:rtl w:val="0"/>
        </w:rPr>
        <w:t xml:space="preserve">: „Sociální ochrana – základní možnosti a dilemata sociálního pracovníka obce“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7030a0"/>
          <w:sz w:val="24"/>
          <w:szCs w:val="24"/>
          <w:rtl w:val="0"/>
        </w:rPr>
        <w:t xml:space="preserve"> A2025/0937-SP/PC</w:t>
      </w:r>
      <w:r w:rsidDel="00000000" w:rsidR="00000000" w:rsidRPr="00000000">
        <w:rPr>
          <w:rFonts w:ascii="Arial" w:cs="Arial" w:eastAsia="Arial" w:hAnsi="Arial"/>
          <w:i w:val="1"/>
          <w:iCs w:val="1"/>
          <w:color w:val="7030a0"/>
          <w:sz w:val="24"/>
          <w:szCs w:val="24"/>
          <w:rtl w:val="0"/>
        </w:rPr>
        <w:t xml:space="preserve"> (8. hodin) kombinovaná forma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1"/>
          <w:bCs w:val="1"/>
          <w:color w:val="4472c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4472c4"/>
          <w:rtl w:val="0"/>
        </w:rPr>
        <w:t xml:space="preserve">akreditace MVČR: Sociální ochrana – základní možnosti a dilemata sociálního pracovníka obce</w:t>
      </w:r>
      <w:r w:rsidDel="00000000" w:rsidR="00000000" w:rsidRPr="00000000">
        <w:rPr>
          <w:b w:val="1"/>
          <w:bCs w:val="1"/>
          <w:color w:val="4472c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4472c4"/>
          <w:rtl w:val="0"/>
        </w:rPr>
        <w:t xml:space="preserve">(videokurz)</w:t>
      </w:r>
      <w:r w:rsidDel="00000000" w:rsidR="00000000" w:rsidRPr="00000000">
        <w:rPr>
          <w:rFonts w:ascii="Arial" w:cs="Arial" w:eastAsia="Arial" w:hAnsi="Arial"/>
          <w:color w:val="4472c4"/>
          <w:rtl w:val="0"/>
        </w:rPr>
        <w:t xml:space="preserve">“ (program vypracovaný dle zákona č. 312/2002 Sb., o úřednících ÚSC v aktuálním znění. (8 hodin) </w:t>
      </w:r>
      <w:r w:rsidDel="00000000" w:rsidR="00000000" w:rsidRPr="00000000">
        <w:rPr>
          <w:rFonts w:ascii="Arial" w:cs="Arial" w:eastAsia="Arial" w:hAnsi="Arial"/>
          <w:b w:val="1"/>
          <w:bCs w:val="1"/>
          <w:color w:val="4472c4"/>
          <w:rtl w:val="0"/>
        </w:rPr>
        <w:t xml:space="preserve">Akreditace vzdělávací instituce AK/I-53/2017</w:t>
      </w:r>
      <w:r w:rsidDel="00000000" w:rsidR="00000000" w:rsidRPr="00000000">
        <w:rPr>
          <w:rtl w:val="0"/>
        </w:rPr>
      </w:r>
    </w:p>
    <w:tbl>
      <w:tblPr>
        <w:tblStyle w:val="Table2"/>
        <w:tblW w:w="10708.0" w:type="dxa"/>
        <w:jc w:val="left"/>
        <w:tblInd w:w="15.0" w:type="dxa"/>
        <w:tblLayout w:type="fixed"/>
        <w:tblLook w:val="0400"/>
      </w:tblPr>
      <w:tblGrid>
        <w:gridCol w:w="3513"/>
        <w:gridCol w:w="7195"/>
        <w:tblGridChange w:id="0">
          <w:tblGrid>
            <w:gridCol w:w="3513"/>
            <w:gridCol w:w="7195"/>
          </w:tblGrid>
        </w:tblGridChange>
      </w:tblGrid>
      <w:tr>
        <w:trPr>
          <w:cantSplit w:val="0"/>
          <w:trHeight w:val="642" w:hRule="atLeast"/>
          <w:tblHeader w:val="0"/>
        </w:trPr>
        <w:tc>
          <w:tcPr>
            <w:gridSpan w:val="2"/>
            <w:tcBorders>
              <w:left w:color="000000" w:space="0" w:sz="0" w:val="nil"/>
              <w:right w:color="000000" w:space="0" w:sz="0" w:val="nil"/>
            </w:tcBorders>
            <w:shd w:fill="00a4de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rPr>
                <w:rFonts w:ascii="Arial" w:cs="Arial" w:eastAsia="Arial" w:hAnsi="Arial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Sociální ochrana – základní možnosti a dilemata sociálního pracovníka obce </w:t>
            </w:r>
          </w:p>
        </w:tc>
      </w:tr>
      <w:tr>
        <w:trPr>
          <w:cantSplit w:val="0"/>
          <w:trHeight w:val="577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Akreditace: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rPr>
                <w:rFonts w:ascii="Times New Roman" w:cs="Times New Roman" w:eastAsia="Times New Roman" w:hAnsi="Times New Roman"/>
                <w:b w:val="1"/>
                <w:bCs w:val="1"/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7030a0"/>
                <w:sz w:val="24"/>
                <w:szCs w:val="24"/>
                <w:rtl w:val="0"/>
              </w:rPr>
              <w:t xml:space="preserve">MPSV: A2025/0937-SP/PC (8. hodin) prezenční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7030a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4472c4"/>
                <w:sz w:val="20"/>
                <w:szCs w:val="20"/>
                <w:rtl w:val="0"/>
              </w:rPr>
              <w:t xml:space="preserve">MVČR: </w:t>
            </w:r>
            <w:r w:rsidDel="00000000" w:rsidR="00000000" w:rsidRPr="00000000">
              <w:rPr>
                <w:rFonts w:ascii="Calibri" w:cs="Calibri" w:eastAsia="Calibri" w:hAnsi="Calibri"/>
                <w:color w:val="4472c4"/>
                <w:rtl w:val="0"/>
              </w:rPr>
              <w:t xml:space="preserve">(program vypracovaný dle zákona č. 312/2002 Sb., o úřednících ÚSC v aktuálním znění. (8 hodin)) Akreditace vzdělávací instituce AK/I-53/2017 (prezenční)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Variabilní symbol: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202601126</w:t>
            </w:r>
          </w:p>
        </w:tc>
      </w:tr>
      <w:tr>
        <w:trPr>
          <w:cantSplit w:val="0"/>
          <w:trHeight w:val="590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Přednáší: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Mgr. Zdeněk Živčák, MPA </w:t>
            </w:r>
          </w:p>
          <w:p w:rsidR="00000000" w:rsidDel="00000000" w:rsidP="00000000" w:rsidRDefault="00000000" w:rsidRPr="00000000" w14:paraId="0000001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color w:val="0000ff"/>
                <w:u w:val="single"/>
                <w:rtl w:val="0"/>
              </w:rPr>
              <w:t xml:space="preserve">linkedin.com/in/zdenek-zivcak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(Odborný lektor s bohatou praxí v dané oblasti, vedoucí odboru sociálních věcí a zdravotnictví Statutárního města Ostrava)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5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Termín konání: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2060"/>
                <w:sz w:val="24"/>
                <w:szCs w:val="24"/>
                <w:rtl w:val="0"/>
              </w:rPr>
              <w:t xml:space="preserve">16.10. 2026 (pátek) od 9,00 hod.</w:t>
            </w:r>
            <w:r w:rsidDel="00000000" w:rsidR="00000000" w:rsidRPr="00000000">
              <w:rPr>
                <w:color w:val="00206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(prezence od 8,30hod – 9,00 hod.)</w:t>
              <w:br w:type="textWrapping"/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Místo konání: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b w:val="1"/>
                <w:bCs w:val="1"/>
                <w:color w:val="000000"/>
                <w:sz w:val="24"/>
                <w:szCs w:val="24"/>
              </w:rPr>
            </w:pPr>
            <w:hyperlink r:id="rId8">
              <w:r w:rsidDel="00000000" w:rsidR="00000000" w:rsidRPr="00000000">
                <w:rPr>
                  <w:rFonts w:ascii="Arial" w:cs="Arial" w:eastAsia="Arial" w:hAnsi="Arial"/>
                  <w:color w:val="1155cc"/>
                  <w:rtl w:val="0"/>
                </w:rPr>
                <w:br w:type="textWrapping"/>
              </w:r>
            </w:hyperlink>
            <w:hyperlink r:id="rId9">
              <w:r w:rsidDel="00000000" w:rsidR="00000000" w:rsidRPr="00000000">
                <w:rPr>
                  <w:rFonts w:ascii="Arial" w:cs="Arial" w:eastAsia="Arial" w:hAnsi="Arial"/>
                  <w:color w:val="1155cc"/>
                  <w:u w:val="single"/>
                  <w:rtl w:val="0"/>
                </w:rPr>
                <w:t xml:space="preserve">Střední škola prof. Zdeňka Matějíčka</w:t>
              </w:r>
            </w:hyperlink>
            <w:r w:rsidDel="00000000" w:rsidR="00000000" w:rsidRPr="00000000">
              <w:rPr>
                <w:rFonts w:ascii="Arial" w:cs="Arial" w:eastAsia="Arial" w:hAnsi="Arial"/>
                <w:color w:val="7a7a7a"/>
                <w:rtl w:val="0"/>
              </w:rPr>
              <w:t xml:space="preserve">, 17. listopadu 1123/70, 708 00, Ostrava-Poruba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Cena: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c00000"/>
                <w:sz w:val="24"/>
                <w:szCs w:val="24"/>
                <w:rtl w:val="0"/>
              </w:rPr>
              <w:t xml:space="preserve">1 990 Kč / osoba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Organizace: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after="0" w:line="240" w:lineRule="auto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2060"/>
                <w:sz w:val="24"/>
                <w:szCs w:val="24"/>
                <w:rtl w:val="0"/>
              </w:rPr>
              <w:t xml:space="preserve">TOP. Semináře s.r.o.  IČ: 06546897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tabs>
          <w:tab w:val="left" w:leader="none" w:pos="10195"/>
        </w:tabs>
        <w:spacing w:after="0" w:before="40" w:line="240" w:lineRule="auto"/>
        <w:ind w:right="-11"/>
        <w:jc w:val="both"/>
        <w:rPr>
          <w:rFonts w:ascii="Arial" w:cs="Arial" w:eastAsia="Arial" w:hAnsi="Arial"/>
          <w:b w:val="1"/>
          <w:bCs w:val="1"/>
          <w:color w:val="00b0f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Anotace</w:t>
      </w:r>
    </w:p>
    <w:p w:rsidR="00000000" w:rsidDel="00000000" w:rsidP="00000000" w:rsidRDefault="00000000" w:rsidRPr="00000000" w14:paraId="0000002B">
      <w:pPr>
        <w:jc w:val="both"/>
        <w:rPr>
          <w:b w:val="1"/>
          <w:bCs w:val="1"/>
          <w:sz w:val="28"/>
          <w:szCs w:val="28"/>
        </w:rPr>
      </w:pPr>
      <w:bookmarkStart w:colFirst="0" w:colLast="0" w:name="_pzh7x6y9c6rj" w:id="0"/>
      <w:bookmarkEnd w:id="0"/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Posluchači se v úvodu seznámí se strukturou tohoto semináře. V dalším průběhu dojde na legislativu nezbytnou pro činnost sociálního pracovníka obce. Tato část se dotkne i cílových skupin. Veřejnému opatrovnictví je pak věnována následující část školení. Nezbytné požadavky na vzdělání včetně odborné způsobilosti tvoří další ucelený blok. Spolupráci s odborníky při sociální práci s vybranými skupinami (senioři, osoby bez přístřeší, osoby s dluhy) je věnována další část semináře. V závěru pak dojde na diskusi k probrané problematice</w:t>
      </w:r>
    </w:p>
    <w:p w:rsidR="00000000" w:rsidDel="00000000" w:rsidP="00000000" w:rsidRDefault="00000000" w:rsidRPr="00000000" w14:paraId="0000002C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Cílové kompetence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Absolventi obnovují informace legislativního zázemí a znají kompetence své sociální práce.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Absolventi doplňují svoje vědomosti o zásady práce veřejného opatrovníka.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Absolventi jsou si vědomi potřeb odbornosti a vzdělávání v rámci své profese.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Absolventi doplňují informace, koho v rámci sociální sítě oslovit při sociální práci s cílovými skupinami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b0f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b0f0"/>
          <w:sz w:val="20"/>
          <w:szCs w:val="20"/>
          <w:u w:val="none"/>
          <w:shd w:fill="auto" w:val="clear"/>
          <w:vertAlign w:val="baseline"/>
          <w:rtl w:val="0"/>
        </w:rPr>
        <w:t xml:space="preserve">Součástí ceny je osvědčení o absolvování semináře, materiály k tématu v elektronické podobě a občerstvení, které sestává z nealkoholických nápojů a občerstvení v průběhu školení.</w:t>
      </w:r>
    </w:p>
    <w:p w:rsidR="00000000" w:rsidDel="00000000" w:rsidP="00000000" w:rsidRDefault="00000000" w:rsidRPr="00000000" w14:paraId="00000034">
      <w:pPr>
        <w:tabs>
          <w:tab w:val="left" w:leader="none" w:pos="3330"/>
        </w:tabs>
        <w:ind w:right="-153"/>
        <w:jc w:val="both"/>
        <w:rPr>
          <w:b w:val="1"/>
          <w:bCs w:val="1"/>
          <w:color w:val="00b0f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tabs>
          <w:tab w:val="left" w:leader="none" w:pos="3330"/>
        </w:tabs>
        <w:ind w:right="-153"/>
        <w:jc w:val="both"/>
        <w:rPr>
          <w:b w:val="1"/>
          <w:bCs w:val="1"/>
          <w:color w:val="00b0f0"/>
        </w:rPr>
      </w:pPr>
      <w:r w:rsidDel="00000000" w:rsidR="00000000" w:rsidRPr="00000000">
        <w:rPr>
          <w:b w:val="1"/>
          <w:bCs w:val="1"/>
          <w:color w:val="00b0f0"/>
          <w:sz w:val="20"/>
          <w:szCs w:val="20"/>
          <w:rtl w:val="0"/>
        </w:rPr>
        <w:t xml:space="preserve">Jak se přihlásit:</w:t>
      </w:r>
      <w:r w:rsidDel="00000000" w:rsidR="00000000" w:rsidRPr="00000000">
        <w:rPr>
          <w:b w:val="1"/>
          <w:bCs w:val="1"/>
          <w:color w:val="00b0f0"/>
          <w:rtl w:val="0"/>
        </w:rPr>
        <w:t xml:space="preserve">  </w:t>
        <w:tab/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53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Zaplaťte účastnický poplatek a vyplňte přihlašovací formulář, prostřednictvím našich webových stránek </w:t>
      </w:r>
      <w:hyperlink r:id="rId10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www.topseminare.cz</w:t>
        </w:r>
      </w:hyperlink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.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Úředníci ÚSC mohou realizovat platbu za seminář až po obdržení faktury po semináři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 Nejasnosti a dotazy rádi vyřídíme telefonicky či emailem (kontakty viz výše nebo na webových stránkách).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Ve lhůtě tři dny a méně před konáním akce není možné zrušit účast na semináři. Kdykoli je možné nahlásit náhradníka na </w:t>
      </w:r>
      <w:hyperlink r:id="rId11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info@topseminare.cz</w:t>
        </w:r>
      </w:hyperlink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37">
      <w:pPr>
        <w:ind w:right="-153"/>
        <w:rPr>
          <w:b w:val="1"/>
          <w:bCs w:val="1"/>
          <w:color w:val="00b0f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ind w:right="-153"/>
        <w:rPr>
          <w:b w:val="1"/>
          <w:bCs w:val="1"/>
          <w:color w:val="00b0f0"/>
          <w:sz w:val="20"/>
          <w:szCs w:val="20"/>
        </w:rPr>
      </w:pPr>
      <w:r w:rsidDel="00000000" w:rsidR="00000000" w:rsidRPr="00000000">
        <w:rPr>
          <w:b w:val="1"/>
          <w:bCs w:val="1"/>
          <w:color w:val="00b0f0"/>
          <w:sz w:val="20"/>
          <w:szCs w:val="20"/>
          <w:rtl w:val="0"/>
        </w:rPr>
        <w:t xml:space="preserve">Zaplacení a smluvní podmínky: </w:t>
      </w:r>
    </w:p>
    <w:p w:rsidR="00000000" w:rsidDel="00000000" w:rsidP="00000000" w:rsidRDefault="00000000" w:rsidRPr="00000000" w14:paraId="00000039">
      <w:pPr>
        <w:ind w:right="-153"/>
        <w:rPr>
          <w:b w:val="1"/>
          <w:bCs w:val="1"/>
          <w:color w:val="00b0f0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Úhradu semináře proveďte na náš </w:t>
      </w:r>
      <w:r w:rsidDel="00000000" w:rsidR="00000000" w:rsidRPr="00000000">
        <w:rPr>
          <w:b w:val="1"/>
          <w:bCs w:val="1"/>
          <w:i w:val="1"/>
          <w:iCs w:val="1"/>
          <w:color w:val="ff0000"/>
          <w:sz w:val="20"/>
          <w:szCs w:val="20"/>
          <w:rtl w:val="0"/>
        </w:rPr>
        <w:t xml:space="preserve">účet č. 5000500032/5500 Raiffeisen Bank</w:t>
      </w:r>
      <w:r w:rsidDel="00000000" w:rsidR="00000000" w:rsidRPr="00000000">
        <w:rPr>
          <w:sz w:val="20"/>
          <w:szCs w:val="20"/>
          <w:rtl w:val="0"/>
        </w:rPr>
        <w:t xml:space="preserve">, neopomeňte uvést správný variabilní symbol. Daňový doklad obdrží účastníci v den konání semináře. V případě neúčasti se vložné nevrací, ale je možné poslat náhradníka.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0" w:before="40" w:line="240" w:lineRule="auto"/>
        <w:ind w:right="720"/>
        <w:rPr>
          <w:i w:val="1"/>
          <w:iCs w:val="1"/>
          <w:color w:val="00b0f0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12" w:type="default"/>
      <w:headerReference r:id="rId13" w:type="first"/>
      <w:headerReference r:id="rId14" w:type="even"/>
      <w:footerReference r:id="rId15" w:type="default"/>
      <w:footerReference r:id="rId16" w:type="first"/>
      <w:footerReference r:id="rId17" w:type="even"/>
      <w:pgSz w:h="16838" w:w="11906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Trebuchet MS"/>
  <w:font w:name="Courier New"/>
  <w:font w:name="Twentieth Century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c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mailto:info@topseminare.cz" TargetMode="External"/><Relationship Id="rId10" Type="http://schemas.openxmlformats.org/officeDocument/2006/relationships/hyperlink" Target="http://www.topseminare.cz" TargetMode="External"/><Relationship Id="rId13" Type="http://schemas.openxmlformats.org/officeDocument/2006/relationships/header" Target="header2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maps.app.goo.gl/airnnwwr3cwZ4MUA8" TargetMode="External"/><Relationship Id="rId15" Type="http://schemas.openxmlformats.org/officeDocument/2006/relationships/footer" Target="footer1.xml"/><Relationship Id="rId14" Type="http://schemas.openxmlformats.org/officeDocument/2006/relationships/header" Target="header3.xml"/><Relationship Id="rId17" Type="http://schemas.openxmlformats.org/officeDocument/2006/relationships/footer" Target="footer3.xml"/><Relationship Id="rId16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Relationship Id="rId8" Type="http://schemas.openxmlformats.org/officeDocument/2006/relationships/hyperlink" Target="https://maps.app.goo.gl/airnnwwr3cwZ4MUA8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