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40" w:line="240" w:lineRule="auto"/>
        <w:ind w:left="720" w:right="720" w:firstLine="0"/>
        <w:jc w:val="center"/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56"/>
          <w:szCs w:val="56"/>
          <w:rtl w:val="0"/>
        </w:rPr>
        <w:t xml:space="preserve">Vymezení vztahu a kompetencí v rámci opatrovnictví a poskytování sociální služby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“ </w:t>
      </w:r>
    </w:p>
    <w:p w:rsidR="00000000" w:rsidDel="00000000" w:rsidP="00000000" w:rsidRDefault="00000000" w:rsidRPr="00000000" w14:paraId="00000013">
      <w:pPr>
        <w:spacing w:after="360" w:before="40" w:line="240" w:lineRule="auto"/>
        <w:ind w:right="72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i w:val="0"/>
          <w:iCs w:val="0"/>
          <w:color w:val="7030a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Akreditace MPSV:</w:t>
      </w:r>
      <w:r w:rsidDel="00000000" w:rsidR="00000000" w:rsidRPr="00000000">
        <w:rPr>
          <w:color w:val="7030a0"/>
          <w:sz w:val="28"/>
          <w:szCs w:val="28"/>
          <w:rtl w:val="0"/>
        </w:rPr>
        <w:t xml:space="preserve"> Vymezení vztahu a kompetencí v rámci opatrovnictví a poskytování sociální služby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A2023/0474-SP/PC/VP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70c0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0070c0"/>
          <w:rtl w:val="0"/>
        </w:rPr>
        <w:t xml:space="preserve">: „</w:t>
      </w:r>
      <w:r w:rsidDel="00000000" w:rsidR="00000000" w:rsidRPr="00000000">
        <w:rPr>
          <w:rFonts w:ascii="Arial" w:cs="Arial" w:eastAsia="Arial" w:hAnsi="Arial"/>
          <w:b w:val="1"/>
          <w:bCs w:val="1"/>
          <w:color w:val="0070c0"/>
          <w:rtl w:val="0"/>
        </w:rPr>
        <w:t xml:space="preserve">Vymezení vztahu a kompetencí v rámci opatrovnictví a poskytování sociálních služby (videokurz)</w:t>
      </w:r>
      <w:r w:rsidDel="00000000" w:rsidR="00000000" w:rsidRPr="00000000">
        <w:rPr>
          <w:rFonts w:ascii="Arial" w:cs="Arial" w:eastAsia="Arial" w:hAnsi="Arial"/>
          <w:color w:val="0070c0"/>
          <w:rtl w:val="0"/>
        </w:rPr>
        <w:t xml:space="preserve">“</w:t>
      </w:r>
      <w:r w:rsidDel="00000000" w:rsidR="00000000" w:rsidRPr="00000000">
        <w:rPr>
          <w:color w:val="0070c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4472c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Poppins" w:cs="Poppins" w:eastAsia="Poppins" w:hAnsi="Poppins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„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Vymezení vztahu a kompetencí v rámci opatrovnictví a poskytování sociálních služby (videokurz)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0080"/>
                <w:sz w:val="20"/>
                <w:szCs w:val="20"/>
                <w:rtl w:val="0"/>
              </w:rPr>
              <w:t xml:space="preserve">MPSV: A2023/04748-SP/PC/VP (8. hodin) kombinovaná forma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202601122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Mgr. Radka Pešlová: o</w:t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dborný lektor výkonu veřejné opatrovnictví a sociálních témat, dříve výuka na Masarykově Univerzitě v Brně, Karlově Universitě, Pedagogická fakulta M. D. Rettigové Praha; Právník a poradce Moravskoslezský kruh, projekt Pečujeme doma (dříve též Diakonie projekt Pečuj doma); v minulosti vyučující na Zkouškách odborné způsobilosti pro výkon Veřejného opatrovnictví.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27.11. 2026 (pátek)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Anotace</w:t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 rámci sociální práce velmi často dochází k péči o osobu, která není schopna rozhodovat. Této osobě v jednom okamžiku mohou být poskytovány sociální služby a sociální práce a současně se o takovou osobu (její práva a naplňování povinností) může starat opatrovník. Mezi právy a povinnostmi opatrovníka a sociální služby dochází k průniku a není vždy vyjasněno, kdo má jaké kompetence, za co odpovídá a jaké mají vzájemné pravomoci. Dochází k situacím, kdy sociální pracovník úkoluje opatrovníka, chová se k němu jako nadřízený. Stávají se také situace, kdy opatrovník nechrání práva opatrovaného a přenechává své povinnosti na sociální službu (např. vyřizování potřebných sociálních dávek, správu jmění atd.). Následně pak dochází k porušování práv opatrovaného tak, že ten je v područí služby a bez náležité kontroly opatrovníkem. Tyto nesrovnalosti vychází často z neznalosti vzájemného postavení, povinností a pravomocí.</w:t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Absolventi upevňuji svoje znalosti a umí pojmenovat postavení sociálních služeb a opatrovníka.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Absolventi doplňují svoje poznání o rozdílech mezi opatrovnictvím a sociální prací.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Absolvent dovedou aplikovat nabyté zkušenosti do praxe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Absolventi obnovují svoje znalosti tak, že umí nastavit procesy jak ve službách, tak v opatrovnictví, tak aby byl chráněn především uživatel/opatrovanec a jeho práva (a to v případě nefunkčnosti sociální služby, nebo nefunkčnosti opatrovníka).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Absolvent by měl získat povědomí, kdy je opatrovník (laický i veřejný) povinen konat, hájit, plnit povinnosti a v jakém rozsahu, komu se zodpovídá a jaké má postavení vůči opatrovanému, službě, sociálnímu pracovníkovi.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Absolvent by měl získat povědomí, jaké jsou povinnosti služby, kdy jsou povinné konat, hájit a plnit povinnosti a v jakém rozsahu, komu se zodpovídají a jaké mají postavení vůči opatrovanému a opatrovníkovi (příp. soudu).</w:t>
      </w:r>
    </w:p>
    <w:p w:rsidR="00000000" w:rsidDel="00000000" w:rsidP="00000000" w:rsidRDefault="00000000" w:rsidRPr="00000000" w14:paraId="0000003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bookmarkStart w:colFirst="0" w:colLast="0" w:name="_l4gunu63zsb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8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A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B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40" w:line="240" w:lineRule="auto"/>
        <w:ind w:left="720" w:right="720" w:firstLine="0"/>
        <w:rPr>
          <w:rFonts w:ascii="Twentieth Century" w:cs="Twentieth Century" w:eastAsia="Twentieth Century" w:hAnsi="Twentieth Century"/>
          <w:b w:val="1"/>
          <w:bCs w:val="1"/>
          <w:color w:val="1cade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Twentieth Century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