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ind w:left="720" w:right="720" w:firstLine="0"/>
        <w:rPr>
          <w:rFonts w:ascii="Twentieth Century" w:cs="Twentieth Century" w:eastAsia="Twentieth Century" w:hAnsi="Twentieth Century"/>
          <w:color w:val="595959"/>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-457199</wp:posOffset>
                </wp:positionH>
                <wp:positionV relativeFrom="paragraph">
                  <wp:posOffset>-457833</wp:posOffset>
                </wp:positionV>
                <wp:extent cx="8247380" cy="2141220"/>
                <wp:effectExtent b="0" l="0" r="0" t="0"/>
                <wp:wrapNone/>
                <wp:docPr id="1" name=""/>
                <a:graphic>
                  <a:graphicData uri="http://schemas.microsoft.com/office/word/2010/wordprocessingGroup">
                    <wpg:wgp>
                      <wpg:cNvGrpSpPr/>
                      <wpg:grpSpPr>
                        <a:xfrm>
                          <a:off x="1222300" y="2709375"/>
                          <a:ext cx="8247380" cy="2141220"/>
                          <a:chOff x="1222300" y="2709375"/>
                          <a:chExt cx="8247375" cy="2141250"/>
                        </a:xfrm>
                      </wpg:grpSpPr>
                      <wpg:grpSp>
                        <wpg:cNvGrpSpPr/>
                        <wpg:grpSpPr>
                          <a:xfrm>
                            <a:off x="1222310" y="2709390"/>
                            <a:ext cx="8247380" cy="2141220"/>
                            <a:chOff x="-7144" y="-7144"/>
                            <a:chExt cx="6005513" cy="1924050"/>
                          </a:xfrm>
                        </wpg:grpSpPr>
                        <wps:wsp>
                          <wps:cNvSpPr/>
                          <wps:cNvPr id="3" name="Shape 3"/>
                          <wps:spPr>
                            <a:xfrm>
                              <a:off x="-7144" y="-7144"/>
                              <a:ext cx="6005500" cy="192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121694" y="-7144"/>
                              <a:ext cx="3876675" cy="1762125"/>
                            </a:xfrm>
                            <a:custGeom>
                              <a:rect b="b" l="l" r="r" t="t"/>
                              <a:pathLst>
                                <a:path extrusionOk="0" h="1762125" w="387667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rgbClr val="2683C6"/>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7144" y="-7144"/>
                              <a:ext cx="6000750" cy="1924050"/>
                            </a:xfrm>
                            <a:custGeom>
                              <a:rect b="b" l="l" r="r" t="t"/>
                              <a:pathLst>
                                <a:path extrusionOk="0" h="1924050" w="60007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rgbClr val="1CADE4"/>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7144" y="-7144"/>
                              <a:ext cx="6000750" cy="904875"/>
                            </a:xfrm>
                            <a:custGeom>
                              <a:rect b="b" l="l" r="r" t="t"/>
                              <a:pathLst>
                                <a:path extrusionOk="0" h="904875" w="6000750">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a:gsLst>
                                <a:gs pos="0">
                                  <a:srgbClr val="1CADE4"/>
                                </a:gs>
                                <a:gs pos="100000">
                                  <a:srgbClr val="75CEEF"/>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3176111" y="924401"/>
                              <a:ext cx="2819400" cy="828675"/>
                            </a:xfrm>
                            <a:custGeom>
                              <a:rect b="b" l="l" r="r" t="t"/>
                              <a:pathLst>
                                <a:path extrusionOk="0" h="828675" w="2819400">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rgbClr val="2683C6"/>
                                </a:gs>
                                <a:gs pos="100000">
                                  <a:srgbClr val="1C6294"/>
                                </a:gs>
                              </a:gsLst>
                              <a:lin ang="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-457199</wp:posOffset>
                </wp:positionH>
                <wp:positionV relativeFrom="paragraph">
                  <wp:posOffset>-457833</wp:posOffset>
                </wp:positionV>
                <wp:extent cx="8247380" cy="2141220"/>
                <wp:effectExtent b="0" l="0" r="0" t="0"/>
                <wp:wrapNone/>
                <wp:docPr id="1"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8247380" cy="2141220"/>
                        </a:xfrm>
                        <a:prstGeom prst="rect"/>
                        <a:ln/>
                      </pic:spPr>
                    </pic:pic>
                  </a:graphicData>
                </a:graphic>
              </wp:anchor>
            </w:drawing>
          </mc:Fallback>
        </mc:AlternateContent>
      </w:r>
    </w:p>
    <w:tbl>
      <w:tblPr>
        <w:tblStyle w:val="Table1"/>
        <w:tblW w:w="10790.0" w:type="dxa"/>
        <w:jc w:val="center"/>
        <w:tblLayout w:type="fixed"/>
        <w:tblLook w:val="0600"/>
      </w:tblPr>
      <w:tblGrid>
        <w:gridCol w:w="10790"/>
        <w:tblGridChange w:id="0">
          <w:tblGrid>
            <w:gridCol w:w="10790"/>
          </w:tblGrid>
        </w:tblGridChange>
      </w:tblGrid>
      <w:tr>
        <w:trPr>
          <w:cantSplit w:val="0"/>
          <w:trHeight w:val="86" w:hRule="atLeast"/>
          <w:tblHeader w:val="0"/>
        </w:trPr>
        <w:tc>
          <w:tcPr/>
          <w:p w:rsidR="00000000" w:rsidDel="00000000" w:rsidP="00000000" w:rsidRDefault="00000000" w:rsidRPr="00000000" w14:paraId="00000002">
            <w:pPr>
              <w:spacing w:after="0" w:line="240" w:lineRule="auto"/>
              <w:ind w:right="720"/>
              <w:rPr>
                <w:rFonts w:ascii="Twentieth Century" w:cs="Twentieth Century" w:eastAsia="Twentieth Century" w:hAnsi="Twentieth Century"/>
                <w:color w:val="000000"/>
                <w:sz w:val="24"/>
                <w:szCs w:val="24"/>
              </w:rPr>
            </w:pPr>
            <w:r w:rsidDel="00000000" w:rsidR="00000000" w:rsidRPr="00000000">
              <w:rPr>
                <w:rtl w:val="0"/>
              </w:rPr>
            </w:r>
          </w:p>
        </w:tc>
      </w:tr>
      <w:tr>
        <w:trPr>
          <w:cantSplit w:val="0"/>
          <w:trHeight w:val="864" w:hRule="atLeast"/>
          <w:tblHeader w:val="0"/>
        </w:trPr>
        <w:tc>
          <w:tcPr>
            <w:vAlign w:val="bottom"/>
          </w:tcPr>
          <w:p w:rsidR="00000000" w:rsidDel="00000000" w:rsidP="00000000" w:rsidRDefault="00000000" w:rsidRPr="00000000" w14:paraId="00000003">
            <w:pPr>
              <w:tabs>
                <w:tab w:val="left" w:leader="none" w:pos="1800"/>
              </w:tabs>
              <w:spacing w:after="0" w:before="40" w:line="240" w:lineRule="auto"/>
              <w:ind w:right="720"/>
              <w:rPr>
                <w:rFonts w:ascii="Arial" w:cs="Arial" w:eastAsia="Arial" w:hAnsi="Arial"/>
                <w:b w:val="1"/>
                <w:bCs w:val="1"/>
                <w:sz w:val="24"/>
                <w:szCs w:val="24"/>
              </w:rPr>
            </w:pPr>
            <w:r w:rsidDel="00000000" w:rsidR="00000000" w:rsidRPr="00000000">
              <w:rPr>
                <w:rFonts w:ascii="Arial" w:cs="Arial" w:eastAsia="Arial" w:hAnsi="Arial"/>
                <w:b w:val="1"/>
                <w:bCs w:val="1"/>
                <w:color w:val="ffffff"/>
                <w:sz w:val="20"/>
                <w:szCs w:val="20"/>
                <w:rtl w:val="0"/>
              </w:rPr>
              <w:t xml:space="preserve">             </w:t>
            </w:r>
            <w:r w:rsidDel="00000000" w:rsidR="00000000" w:rsidRPr="00000000">
              <w:rPr>
                <w:rFonts w:ascii="Arial" w:cs="Arial" w:eastAsia="Arial" w:hAnsi="Arial"/>
                <w:b w:val="1"/>
                <w:bCs w:val="1"/>
                <w:sz w:val="24"/>
                <w:szCs w:val="24"/>
                <w:rtl w:val="0"/>
              </w:rPr>
              <w:t xml:space="preserve">TOP Semináře s.r.o.,</w:t>
            </w:r>
          </w:p>
          <w:p w:rsidR="00000000" w:rsidDel="00000000" w:rsidP="00000000" w:rsidRDefault="00000000" w:rsidRPr="00000000" w14:paraId="00000004">
            <w:pPr>
              <w:tabs>
                <w:tab w:val="left" w:leader="none" w:pos="1800"/>
              </w:tabs>
              <w:spacing w:after="0" w:before="40" w:line="240" w:lineRule="auto"/>
              <w:ind w:left="720" w:righ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Vzdělávací agentura</w:t>
            </w:r>
          </w:p>
          <w:p w:rsidR="00000000" w:rsidDel="00000000" w:rsidP="00000000" w:rsidRDefault="00000000" w:rsidRPr="00000000" w14:paraId="00000005">
            <w:pPr>
              <w:tabs>
                <w:tab w:val="left" w:leader="none" w:pos="1800"/>
              </w:tabs>
              <w:spacing w:after="0" w:before="40" w:line="240" w:lineRule="auto"/>
              <w:ind w:left="720" w:right="72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Akreditace programů MPSV </w:t>
            </w:r>
          </w:p>
          <w:p w:rsidR="00000000" w:rsidDel="00000000" w:rsidP="00000000" w:rsidRDefault="00000000" w:rsidRPr="00000000" w14:paraId="00000006">
            <w:pPr>
              <w:rPr>
                <w:rFonts w:ascii="Arial" w:cs="Arial" w:eastAsia="Arial" w:hAnsi="Arial"/>
                <w:b w:val="1"/>
                <w:bCs w:val="1"/>
                <w:sz w:val="28"/>
                <w:szCs w:val="28"/>
              </w:rPr>
            </w:pPr>
            <w:r w:rsidDel="00000000" w:rsidR="00000000" w:rsidRPr="00000000">
              <w:rPr>
                <w:rFonts w:ascii="Arial" w:cs="Arial" w:eastAsia="Arial" w:hAnsi="Arial"/>
                <w:b w:val="1"/>
                <w:bCs w:val="1"/>
                <w:sz w:val="24"/>
                <w:szCs w:val="24"/>
                <w:rtl w:val="0"/>
              </w:rPr>
              <w:t xml:space="preserve">           Akreditovaná vzdělávací instituce MVČR </w:t>
            </w:r>
            <w:r w:rsidDel="00000000" w:rsidR="00000000" w:rsidRPr="00000000">
              <w:rPr>
                <w:rFonts w:ascii="Times New Roman" w:cs="Times New Roman" w:eastAsia="Times New Roman" w:hAnsi="Times New Roman"/>
                <w:b w:val="1"/>
                <w:bCs w:val="1"/>
                <w:sz w:val="28"/>
                <w:szCs w:val="28"/>
                <w:rtl w:val="0"/>
              </w:rPr>
              <w:t xml:space="preserve">AK/I-53/201</w:t>
            </w:r>
            <w:r w:rsidDel="00000000" w:rsidR="00000000" w:rsidRPr="00000000">
              <w:rPr>
                <w:rtl w:val="0"/>
              </w:rPr>
            </w:r>
          </w:p>
          <w:p w:rsidR="00000000" w:rsidDel="00000000" w:rsidP="00000000" w:rsidRDefault="00000000" w:rsidRPr="00000000" w14:paraId="00000007">
            <w:pP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         </w:t>
            </w:r>
            <w:r w:rsidDel="00000000" w:rsidR="00000000" w:rsidRPr="00000000">
              <w:rPr>
                <w:rFonts w:ascii="Arial" w:cs="Arial" w:eastAsia="Arial" w:hAnsi="Arial"/>
                <w:sz w:val="24"/>
                <w:szCs w:val="24"/>
                <w:rtl w:val="0"/>
              </w:rPr>
              <w:t xml:space="preserve">Zátiší 476/12, Ostrava – Svinov, 721 00</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6156960</wp:posOffset>
                  </wp:positionH>
                  <wp:positionV relativeFrom="paragraph">
                    <wp:posOffset>9525</wp:posOffset>
                  </wp:positionV>
                  <wp:extent cx="1021080" cy="1074420"/>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21080" cy="1074420"/>
                          </a:xfrm>
                          <a:prstGeom prst="rect"/>
                          <a:ln/>
                        </pic:spPr>
                      </pic:pic>
                    </a:graphicData>
                  </a:graphic>
                </wp:anchor>
              </w:drawing>
            </w:r>
          </w:p>
          <w:p w:rsidR="00000000" w:rsidDel="00000000" w:rsidP="00000000" w:rsidRDefault="00000000" w:rsidRPr="00000000" w14:paraId="00000008">
            <w:pPr>
              <w:tabs>
                <w:tab w:val="left" w:leader="none" w:pos="1800"/>
              </w:tabs>
              <w:spacing w:after="0" w:before="40" w:line="240" w:lineRule="auto"/>
              <w:ind w:left="720" w:righ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IČ: 06546897 </w:t>
            </w:r>
          </w:p>
          <w:p w:rsidR="00000000" w:rsidDel="00000000" w:rsidP="00000000" w:rsidRDefault="00000000" w:rsidRPr="00000000" w14:paraId="00000009">
            <w:pPr>
              <w:spacing w:after="0" w:before="40" w:line="240" w:lineRule="auto"/>
              <w:ind w:left="720" w:right="72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Mobil:602 707 481, E-mail: info@topseminare.cz</w:t>
            </w:r>
          </w:p>
          <w:p w:rsidR="00000000" w:rsidDel="00000000" w:rsidP="00000000" w:rsidRDefault="00000000" w:rsidRPr="00000000" w14:paraId="0000000A">
            <w:pPr>
              <w:spacing w:after="0" w:before="40" w:line="240" w:lineRule="auto"/>
              <w:ind w:left="720" w:right="720" w:firstLine="0"/>
              <w:rPr>
                <w:rFonts w:ascii="Arial" w:cs="Arial" w:eastAsia="Arial" w:hAnsi="Arial"/>
                <w:color w:val="ffffff"/>
                <w:sz w:val="20"/>
                <w:szCs w:val="20"/>
              </w:rPr>
            </w:pPr>
            <w:r w:rsidDel="00000000" w:rsidR="00000000" w:rsidRPr="00000000">
              <w:rPr>
                <w:rFonts w:ascii="Arial" w:cs="Arial" w:eastAsia="Arial" w:hAnsi="Arial"/>
                <w:sz w:val="24"/>
                <w:szCs w:val="24"/>
                <w:rtl w:val="0"/>
              </w:rPr>
              <w:t xml:space="preserve">více informací na: </w:t>
            </w:r>
            <w:r w:rsidDel="00000000" w:rsidR="00000000" w:rsidRPr="00000000">
              <w:rPr>
                <w:rFonts w:ascii="Arial" w:cs="Arial" w:eastAsia="Arial" w:hAnsi="Arial"/>
                <w:b w:val="1"/>
                <w:bCs w:val="1"/>
                <w:sz w:val="24"/>
                <w:szCs w:val="24"/>
                <w:rtl w:val="0"/>
              </w:rPr>
              <w:t xml:space="preserve">www.topseminare.cz</w:t>
            </w:r>
            <w:r w:rsidDel="00000000" w:rsidR="00000000" w:rsidRPr="00000000">
              <w:rPr>
                <w:rtl w:val="0"/>
              </w:rPr>
            </w:r>
          </w:p>
          <w:p w:rsidR="00000000" w:rsidDel="00000000" w:rsidP="00000000" w:rsidRDefault="00000000" w:rsidRPr="00000000" w14:paraId="0000000B">
            <w:pPr>
              <w:spacing w:after="0" w:line="240" w:lineRule="auto"/>
              <w:ind w:left="720" w:right="720" w:firstLine="0"/>
              <w:rPr>
                <w:rFonts w:ascii="Twentieth Century" w:cs="Twentieth Century" w:eastAsia="Twentieth Century" w:hAnsi="Twentieth Century"/>
                <w:color w:val="ffffff"/>
                <w:sz w:val="24"/>
                <w:szCs w:val="24"/>
              </w:rPr>
            </w:pPr>
            <w:r w:rsidDel="00000000" w:rsidR="00000000" w:rsidRPr="00000000">
              <w:rPr>
                <w:rtl w:val="0"/>
              </w:rPr>
            </w:r>
          </w:p>
        </w:tc>
      </w:tr>
    </w:tbl>
    <w:p w:rsidR="00000000" w:rsidDel="00000000" w:rsidP="00000000" w:rsidRDefault="00000000" w:rsidRPr="00000000" w14:paraId="0000000C">
      <w:pPr>
        <w:spacing w:after="40" w:before="840" w:line="240" w:lineRule="auto"/>
        <w:ind w:right="720"/>
        <w:rPr>
          <w:rFonts w:ascii="Twentieth Century" w:cs="Twentieth Century" w:eastAsia="Twentieth Century" w:hAnsi="Twentieth Century"/>
          <w:b w:val="1"/>
          <w:bCs w:val="1"/>
          <w:color w:val="000000"/>
          <w:sz w:val="24"/>
          <w:szCs w:val="24"/>
        </w:rPr>
      </w:pPr>
      <w:r w:rsidDel="00000000" w:rsidR="00000000" w:rsidRPr="00000000">
        <w:rPr>
          <w:rtl w:val="0"/>
        </w:rPr>
      </w:r>
    </w:p>
    <w:p w:rsidR="00000000" w:rsidDel="00000000" w:rsidP="00000000" w:rsidRDefault="00000000" w:rsidRPr="00000000" w14:paraId="0000000D">
      <w:pPr>
        <w:tabs>
          <w:tab w:val="left" w:leader="none" w:pos="1800"/>
        </w:tabs>
        <w:spacing w:after="0" w:before="40" w:line="240" w:lineRule="auto"/>
        <w:ind w:left="720" w:right="720" w:firstLine="0"/>
        <w:jc w:val="center"/>
        <w:rPr>
          <w:rFonts w:ascii="Arial" w:cs="Arial" w:eastAsia="Arial" w:hAnsi="Arial"/>
          <w:b w:val="1"/>
          <w:bCs w:val="1"/>
          <w:color w:val="595959"/>
          <w:sz w:val="20"/>
          <w:szCs w:val="20"/>
        </w:rPr>
      </w:pPr>
      <w:r w:rsidDel="00000000" w:rsidR="00000000" w:rsidRPr="00000000">
        <w:rPr>
          <w:rFonts w:ascii="Arial" w:cs="Arial" w:eastAsia="Arial" w:hAnsi="Arial"/>
          <w:b w:val="1"/>
          <w:bCs w:val="1"/>
          <w:color w:val="595959"/>
          <w:sz w:val="20"/>
          <w:szCs w:val="20"/>
          <w:rtl w:val="0"/>
        </w:rPr>
        <w:t xml:space="preserve">si Vás dovolujeme pozvat na seminář</w:t>
      </w:r>
    </w:p>
    <w:p w:rsidR="00000000" w:rsidDel="00000000" w:rsidP="00000000" w:rsidRDefault="00000000" w:rsidRPr="00000000" w14:paraId="0000000E">
      <w:pPr>
        <w:tabs>
          <w:tab w:val="left" w:leader="none" w:pos="1800"/>
        </w:tabs>
        <w:spacing w:after="0" w:before="40" w:line="240" w:lineRule="auto"/>
        <w:ind w:left="720" w:right="720" w:firstLine="0"/>
        <w:jc w:val="center"/>
        <w:rPr>
          <w:rFonts w:ascii="Arial" w:cs="Arial" w:eastAsia="Arial" w:hAnsi="Arial"/>
          <w:b w:val="1"/>
          <w:bCs w:val="1"/>
          <w:color w:val="595959"/>
          <w:sz w:val="20"/>
          <w:szCs w:val="20"/>
        </w:rPr>
      </w:pPr>
      <w:r w:rsidDel="00000000" w:rsidR="00000000" w:rsidRPr="00000000">
        <w:rPr>
          <w:rtl w:val="0"/>
        </w:rPr>
      </w:r>
    </w:p>
    <w:p w:rsidR="00000000" w:rsidDel="00000000" w:rsidP="00000000" w:rsidRDefault="00000000" w:rsidRPr="00000000" w14:paraId="0000000F">
      <w:pPr>
        <w:tabs>
          <w:tab w:val="left" w:leader="none" w:pos="1800"/>
        </w:tabs>
        <w:spacing w:after="0" w:before="40" w:line="240" w:lineRule="auto"/>
        <w:ind w:left="720" w:right="720" w:firstLine="0"/>
        <w:jc w:val="center"/>
        <w:rPr>
          <w:rFonts w:ascii="Arial" w:cs="Arial" w:eastAsia="Arial" w:hAnsi="Arial"/>
          <w:b w:val="1"/>
          <w:bCs w:val="1"/>
          <w:color w:val="595959"/>
          <w:sz w:val="16"/>
          <w:szCs w:val="16"/>
        </w:rPr>
      </w:pPr>
      <w:r w:rsidDel="00000000" w:rsidR="00000000" w:rsidRPr="00000000">
        <w:rPr>
          <w:rtl w:val="0"/>
        </w:rPr>
      </w:r>
    </w:p>
    <w:p w:rsidR="00000000" w:rsidDel="00000000" w:rsidP="00000000" w:rsidRDefault="00000000" w:rsidRPr="00000000" w14:paraId="00000010">
      <w:pPr>
        <w:tabs>
          <w:tab w:val="left" w:leader="none" w:pos="1800"/>
        </w:tabs>
        <w:spacing w:after="0" w:before="40" w:line="240" w:lineRule="auto"/>
        <w:ind w:left="720" w:right="720" w:firstLine="0"/>
        <w:jc w:val="center"/>
        <w:rPr>
          <w:rFonts w:ascii="Arial" w:cs="Arial" w:eastAsia="Arial" w:hAnsi="Arial"/>
          <w:color w:val="3366ff"/>
          <w:sz w:val="16"/>
          <w:szCs w:val="16"/>
        </w:rPr>
      </w:pPr>
      <w:r w:rsidDel="00000000" w:rsidR="00000000" w:rsidRPr="00000000">
        <w:rPr>
          <w:rtl w:val="0"/>
        </w:rPr>
      </w:r>
    </w:p>
    <w:p w:rsidR="00000000" w:rsidDel="00000000" w:rsidP="00000000" w:rsidRDefault="00000000" w:rsidRPr="00000000" w14:paraId="00000011">
      <w:pPr>
        <w:jc w:val="center"/>
        <w:rPr>
          <w:b w:val="1"/>
          <w:bCs w:val="1"/>
          <w:color w:val="4472c4"/>
          <w:sz w:val="44"/>
          <w:szCs w:val="44"/>
        </w:rPr>
      </w:pPr>
      <w:r w:rsidDel="00000000" w:rsidR="00000000" w:rsidRPr="00000000">
        <w:rPr>
          <w:rFonts w:ascii="Arial" w:cs="Arial" w:eastAsia="Arial" w:hAnsi="Arial"/>
          <w:b w:val="1"/>
          <w:bCs w:val="1"/>
          <w:color w:val="4472c4"/>
          <w:sz w:val="44"/>
          <w:szCs w:val="44"/>
          <w:rtl w:val="0"/>
        </w:rPr>
        <w:t xml:space="preserve">„Sdílené rodičovství a vysoko konfliktní rozvody“</w:t>
      </w:r>
      <w:r w:rsidDel="00000000" w:rsidR="00000000" w:rsidRPr="00000000">
        <w:rPr>
          <w:rtl w:val="0"/>
        </w:rPr>
      </w:r>
    </w:p>
    <w:p w:rsidR="00000000" w:rsidDel="00000000" w:rsidP="00000000" w:rsidRDefault="00000000" w:rsidRPr="00000000" w14:paraId="00000012">
      <w:pPr>
        <w:rPr>
          <w:b w:val="1"/>
          <w:bCs w:val="1"/>
          <w:color w:val="7030a0"/>
        </w:rPr>
      </w:pPr>
      <w:r w:rsidDel="00000000" w:rsidR="00000000" w:rsidRPr="00000000">
        <w:rPr>
          <w:rtl w:val="0"/>
        </w:rPr>
      </w:r>
    </w:p>
    <w:p w:rsidR="00000000" w:rsidDel="00000000" w:rsidP="00000000" w:rsidRDefault="00000000" w:rsidRPr="00000000" w14:paraId="00000013">
      <w:pPr>
        <w:spacing w:line="276" w:lineRule="auto"/>
        <w:jc w:val="both"/>
        <w:rPr>
          <w:rFonts w:ascii="Arial" w:cs="Arial" w:eastAsia="Arial" w:hAnsi="Arial"/>
          <w:b w:val="1"/>
          <w:bCs w:val="1"/>
          <w:i w:val="1"/>
          <w:iCs w:val="1"/>
          <w:color w:val="7030a0"/>
          <w:sz w:val="28"/>
          <w:szCs w:val="28"/>
        </w:rPr>
      </w:pPr>
      <w:r w:rsidDel="00000000" w:rsidR="00000000" w:rsidRPr="00000000">
        <w:rPr>
          <w:rFonts w:ascii="Arial" w:cs="Arial" w:eastAsia="Arial" w:hAnsi="Arial"/>
          <w:b w:val="1"/>
          <w:bCs w:val="1"/>
          <w:color w:val="7030a0"/>
          <w:rtl w:val="0"/>
        </w:rPr>
        <w:t xml:space="preserve">Akreditace náleží společnosti NIDAR MPSV ČR: </w:t>
      </w:r>
      <w:r w:rsidDel="00000000" w:rsidR="00000000" w:rsidRPr="00000000">
        <w:rPr>
          <w:rFonts w:ascii="Arial" w:cs="Arial" w:eastAsia="Arial" w:hAnsi="Arial"/>
          <w:color w:val="7030a0"/>
          <w:highlight w:val="white"/>
          <w:rtl w:val="0"/>
        </w:rPr>
        <w:t xml:space="preserve">Název kurzu:</w:t>
      </w:r>
      <w:r w:rsidDel="00000000" w:rsidR="00000000" w:rsidRPr="00000000">
        <w:rPr>
          <w:b w:val="1"/>
          <w:bCs w:val="1"/>
          <w:color w:val="7030a0"/>
          <w:rtl w:val="0"/>
        </w:rPr>
        <w:t xml:space="preserve"> Sdílené rodičovství a vysoko konfliktní rozvody (</w:t>
      </w:r>
      <w:r w:rsidDel="00000000" w:rsidR="00000000" w:rsidRPr="00000000">
        <w:rPr>
          <w:rFonts w:ascii="Arial" w:cs="Arial" w:eastAsia="Arial" w:hAnsi="Arial"/>
          <w:color w:val="7030a0"/>
          <w:highlight w:val="white"/>
          <w:rtl w:val="0"/>
        </w:rPr>
        <w:t xml:space="preserve">8 hodin). Číslo akreditace: </w:t>
      </w:r>
      <w:r w:rsidDel="00000000" w:rsidR="00000000" w:rsidRPr="00000000">
        <w:rPr>
          <w:rFonts w:ascii="Arial" w:cs="Arial" w:eastAsia="Arial" w:hAnsi="Arial"/>
          <w:color w:val="7030a0"/>
          <w:rtl w:val="0"/>
        </w:rPr>
        <w:t xml:space="preserve">A2023/0235-SP/PC – akreditace pouze MPSV</w:t>
      </w:r>
      <w:r w:rsidDel="00000000" w:rsidR="00000000" w:rsidRPr="00000000">
        <w:rPr>
          <w:rtl w:val="0"/>
        </w:rPr>
      </w:r>
    </w:p>
    <w:p w:rsidR="00000000" w:rsidDel="00000000" w:rsidP="00000000" w:rsidRDefault="00000000" w:rsidRPr="00000000" w14:paraId="00000014">
      <w:pPr>
        <w:rPr>
          <w:b w:val="1"/>
          <w:bCs w:val="1"/>
          <w:color w:val="7030a0"/>
        </w:rPr>
      </w:pPr>
      <w:r w:rsidDel="00000000" w:rsidR="00000000" w:rsidRPr="00000000">
        <w:rPr>
          <w:rtl w:val="0"/>
        </w:rPr>
      </w:r>
    </w:p>
    <w:tbl>
      <w:tblPr>
        <w:tblStyle w:val="Table2"/>
        <w:tblW w:w="10708.0" w:type="dxa"/>
        <w:jc w:val="left"/>
        <w:tblInd w:w="15.0" w:type="dxa"/>
        <w:tblLayout w:type="fixed"/>
        <w:tblLook w:val="0400"/>
      </w:tblPr>
      <w:tblGrid>
        <w:gridCol w:w="3513"/>
        <w:gridCol w:w="7195"/>
        <w:tblGridChange w:id="0">
          <w:tblGrid>
            <w:gridCol w:w="3513"/>
            <w:gridCol w:w="7195"/>
          </w:tblGrid>
        </w:tblGridChange>
      </w:tblGrid>
      <w:tr>
        <w:trPr>
          <w:cantSplit w:val="0"/>
          <w:trHeight w:val="642" w:hRule="atLeast"/>
          <w:tblHeader w:val="0"/>
        </w:trPr>
        <w:tc>
          <w:tcPr>
            <w:gridSpan w:val="2"/>
            <w:tcBorders>
              <w:left w:color="000000" w:space="0" w:sz="0" w:val="nil"/>
              <w:right w:color="000000" w:space="0" w:sz="0" w:val="nil"/>
            </w:tcBorders>
            <w:shd w:fill="00a4de" w:val="clear"/>
            <w:tcMar>
              <w:top w:w="30.0" w:type="dxa"/>
              <w:left w:w="30.0" w:type="dxa"/>
              <w:bottom w:w="30.0" w:type="dxa"/>
              <w:right w:w="30.0" w:type="dxa"/>
            </w:tcMar>
            <w:vAlign w:val="center"/>
          </w:tcPr>
          <w:p w:rsidR="00000000" w:rsidDel="00000000" w:rsidP="00000000" w:rsidRDefault="00000000" w:rsidRPr="00000000" w14:paraId="00000015">
            <w:pPr>
              <w:rPr>
                <w:b w:val="1"/>
                <w:bCs w:val="1"/>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Participace dítěte v situaci rozpadu rodiny – zjišťování názoru dítěte</w:t>
            </w:r>
            <w:r w:rsidDel="00000000" w:rsidR="00000000" w:rsidRPr="00000000">
              <w:rPr>
                <w:b w:val="1"/>
                <w:bCs w:val="1"/>
                <w:color w:val="ffffff"/>
                <w:sz w:val="28"/>
                <w:szCs w:val="28"/>
                <w:rtl w:val="0"/>
              </w:rPr>
              <w:t xml:space="preserve"> (videokurz)</w:t>
            </w:r>
            <w:r w:rsidDel="00000000" w:rsidR="00000000" w:rsidRPr="00000000">
              <w:rPr>
                <w:rtl w:val="0"/>
              </w:rPr>
            </w:r>
          </w:p>
        </w:tc>
      </w:tr>
      <w:tr>
        <w:trPr>
          <w:cantSplit w:val="0"/>
          <w:trHeight w:val="577"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7">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Akreditace: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8">
            <w:pPr>
              <w:spacing w:after="0" w:line="240" w:lineRule="auto"/>
              <w:rPr>
                <w:rFonts w:ascii="Calibri" w:cs="Calibri" w:eastAsia="Calibri" w:hAnsi="Calibri"/>
                <w:color w:val="7030a0"/>
              </w:rPr>
            </w:pPr>
            <w:r w:rsidDel="00000000" w:rsidR="00000000" w:rsidRPr="00000000">
              <w:rPr>
                <w:rFonts w:ascii="Calibri" w:cs="Calibri" w:eastAsia="Calibri" w:hAnsi="Calibri"/>
                <w:color w:val="7030a0"/>
                <w:rtl w:val="0"/>
              </w:rPr>
              <w:t xml:space="preserve">MPSV: A2023/0235-SP/PC (8. hodin) online forma (Akreditace náleží společnosti NIDAR)</w:t>
            </w:r>
          </w:p>
          <w:p w:rsidR="00000000" w:rsidDel="00000000" w:rsidP="00000000" w:rsidRDefault="00000000" w:rsidRPr="00000000" w14:paraId="00000019">
            <w:pPr>
              <w:spacing w:after="0" w:line="240" w:lineRule="auto"/>
              <w:rPr>
                <w:rFonts w:ascii="Calibri" w:cs="Calibri" w:eastAsia="Calibri" w:hAnsi="Calibri"/>
                <w:color w:val="000000"/>
              </w:rPr>
            </w:pP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A">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Variabilní symbol: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B">
            <w:pPr>
              <w:spacing w:after="0" w:line="240" w:lineRule="auto"/>
              <w:rPr>
                <w:rFonts w:ascii="Calibri" w:cs="Calibri" w:eastAsia="Calibri" w:hAnsi="Calibri"/>
                <w:b w:val="1"/>
                <w:bCs w:val="1"/>
                <w:color w:val="ff0000"/>
                <w:sz w:val="24"/>
                <w:szCs w:val="24"/>
              </w:rPr>
            </w:pPr>
            <w:r w:rsidDel="00000000" w:rsidR="00000000" w:rsidRPr="00000000">
              <w:rPr>
                <w:rFonts w:ascii="Calibri" w:cs="Calibri" w:eastAsia="Calibri" w:hAnsi="Calibri"/>
                <w:b w:val="1"/>
                <w:bCs w:val="1"/>
                <w:color w:val="000000"/>
                <w:sz w:val="24"/>
                <w:szCs w:val="24"/>
                <w:rtl w:val="0"/>
              </w:rPr>
              <w:t xml:space="preserve">202601133  </w:t>
            </w:r>
            <w:r w:rsidDel="00000000" w:rsidR="00000000" w:rsidRPr="00000000">
              <w:rPr>
                <w:rtl w:val="0"/>
              </w:rPr>
            </w:r>
          </w:p>
        </w:tc>
      </w:tr>
      <w:tr>
        <w:trPr>
          <w:cantSplit w:val="0"/>
          <w:trHeight w:val="590"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C">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Přednáší: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D">
            <w:pPr>
              <w:spacing w:after="0" w:line="240" w:lineRule="auto"/>
              <w:rPr>
                <w:color w:val="000000"/>
                <w:sz w:val="24"/>
                <w:szCs w:val="24"/>
              </w:rPr>
            </w:pPr>
            <w:r w:rsidDel="00000000" w:rsidR="00000000" w:rsidRPr="00000000">
              <w:rPr>
                <w:rFonts w:ascii="Arial" w:cs="Arial" w:eastAsia="Arial" w:hAnsi="Arial"/>
                <w:b w:val="1"/>
                <w:bCs w:val="1"/>
                <w:rtl w:val="0"/>
              </w:rPr>
              <w:t xml:space="preserve">Mgr. Terezie Pemová: </w:t>
            </w:r>
            <w:r w:rsidDel="00000000" w:rsidR="00000000" w:rsidRPr="00000000">
              <w:rPr>
                <w:rFonts w:ascii="Arial" w:cs="Arial" w:eastAsia="Arial" w:hAnsi="Arial"/>
                <w:rtl w:val="0"/>
              </w:rPr>
              <w:t xml:space="preserve">Národní institut pro rodinu a děti, spoluautorka knih s danou problematikou, uznávaná lektorka.</w:t>
            </w:r>
            <w:r w:rsidDel="00000000" w:rsidR="00000000" w:rsidRPr="00000000">
              <w:rPr>
                <w:rtl w:val="0"/>
              </w:rPr>
            </w:r>
          </w:p>
        </w:tc>
      </w:tr>
      <w:tr>
        <w:trPr>
          <w:cantSplit w:val="0"/>
          <w:trHeight w:val="275"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E">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Termín konání: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1F">
            <w:pPr>
              <w:spacing w:after="0" w:line="240" w:lineRule="auto"/>
              <w:rPr>
                <w:rFonts w:ascii="Calibri" w:cs="Calibri" w:eastAsia="Calibri" w:hAnsi="Calibri"/>
                <w:color w:val="000000"/>
                <w:sz w:val="24"/>
                <w:szCs w:val="24"/>
              </w:rPr>
            </w:pPr>
            <w:r w:rsidDel="00000000" w:rsidR="00000000" w:rsidRPr="00000000">
              <w:rPr>
                <w:rFonts w:ascii="Calibri" w:cs="Calibri" w:eastAsia="Calibri" w:hAnsi="Calibri"/>
                <w:b w:val="1"/>
                <w:bCs w:val="1"/>
                <w:color w:val="002060"/>
                <w:sz w:val="24"/>
                <w:szCs w:val="24"/>
                <w:rtl w:val="0"/>
              </w:rPr>
              <w:t xml:space="preserve">20.11. 2026 (pátek) od 8.00,00 hod.</w:t>
            </w:r>
            <w:r w:rsidDel="00000000" w:rsidR="00000000" w:rsidRPr="00000000">
              <w:rPr>
                <w:rFonts w:ascii="Calibri" w:cs="Calibri" w:eastAsia="Calibri" w:hAnsi="Calibri"/>
                <w:color w:val="002060"/>
                <w:sz w:val="24"/>
                <w:szCs w:val="24"/>
                <w:rtl w:val="0"/>
              </w:rPr>
              <w:t xml:space="preserve"> </w:t>
            </w:r>
            <w:r w:rsidDel="00000000" w:rsidR="00000000" w:rsidRPr="00000000">
              <w:rPr>
                <w:rFonts w:ascii="Calibri" w:cs="Calibri" w:eastAsia="Calibri" w:hAnsi="Calibri"/>
                <w:color w:val="000000"/>
                <w:sz w:val="24"/>
                <w:szCs w:val="24"/>
                <w:rtl w:val="0"/>
              </w:rPr>
              <w:t xml:space="preserve">(prezence od 7,30hod – 8,00 hod.)</w:t>
              <w:br w:type="textWrapping"/>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0">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Místo konání: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1">
            <w:pPr>
              <w:spacing w:after="0" w:line="240" w:lineRule="auto"/>
              <w:rPr>
                <w:rFonts w:ascii="Calibri" w:cs="Calibri" w:eastAsia="Calibri" w:hAnsi="Calibri"/>
                <w:b w:val="1"/>
                <w:bCs w:val="1"/>
                <w:color w:val="ee0000"/>
                <w:sz w:val="24"/>
                <w:szCs w:val="24"/>
              </w:rPr>
            </w:pPr>
            <w:r w:rsidDel="00000000" w:rsidR="00000000" w:rsidRPr="00000000">
              <w:rPr>
                <w:b w:val="1"/>
                <w:bCs w:val="1"/>
                <w:color w:val="ee0000"/>
                <w:sz w:val="24"/>
                <w:szCs w:val="24"/>
                <w:rtl w:val="0"/>
              </w:rPr>
              <w:t xml:space="preserve">ONLINE</w:t>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2">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Cena:</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3">
            <w:pPr>
              <w:spacing w:after="0" w:line="24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c00000"/>
                <w:sz w:val="24"/>
                <w:szCs w:val="24"/>
                <w:rtl w:val="0"/>
              </w:rPr>
              <w:t xml:space="preserve">1 990 Kč / osoba</w:t>
            </w:r>
            <w:r w:rsidDel="00000000" w:rsidR="00000000" w:rsidRPr="00000000">
              <w:rPr>
                <w:rtl w:val="0"/>
              </w:rPr>
            </w:r>
          </w:p>
        </w:tc>
      </w:tr>
      <w:tr>
        <w:trPr>
          <w:cantSplit w:val="0"/>
          <w:trHeight w:val="288" w:hRule="atLeast"/>
          <w:tblHeader w:val="0"/>
        </w:trPr>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4">
            <w:pPr>
              <w:spacing w:after="0" w:line="240" w:lineRule="auto"/>
              <w:rPr>
                <w:rFonts w:ascii="Trebuchet MS" w:cs="Trebuchet MS" w:eastAsia="Trebuchet MS" w:hAnsi="Trebuchet MS"/>
                <w:color w:val="000000"/>
                <w:sz w:val="24"/>
                <w:szCs w:val="24"/>
              </w:rPr>
            </w:pPr>
            <w:r w:rsidDel="00000000" w:rsidR="00000000" w:rsidRPr="00000000">
              <w:rPr>
                <w:rFonts w:ascii="Georgia" w:cs="Georgia" w:eastAsia="Georgia" w:hAnsi="Georgia"/>
                <w:b w:val="1"/>
                <w:bCs w:val="1"/>
                <w:color w:val="000000"/>
                <w:sz w:val="24"/>
                <w:szCs w:val="24"/>
                <w:rtl w:val="0"/>
              </w:rPr>
              <w:t xml:space="preserve">Organizace: </w:t>
            </w:r>
            <w:r w:rsidDel="00000000" w:rsidR="00000000" w:rsidRPr="00000000">
              <w:rPr>
                <w:rtl w:val="0"/>
              </w:rPr>
            </w:r>
          </w:p>
        </w:tc>
        <w:tc>
          <w:tcPr>
            <w:tcBorders>
              <w:left w:color="000000" w:space="0" w:sz="0" w:val="nil"/>
              <w:right w:color="000000" w:space="0" w:sz="0" w:val="nil"/>
            </w:tcBorders>
            <w:shd w:fill="ffffff" w:val="clear"/>
            <w:tcMar>
              <w:top w:w="30.0" w:type="dxa"/>
              <w:left w:w="30.0" w:type="dxa"/>
              <w:bottom w:w="30.0" w:type="dxa"/>
              <w:right w:w="30.0" w:type="dxa"/>
            </w:tcMar>
            <w:vAlign w:val="center"/>
          </w:tcPr>
          <w:p w:rsidR="00000000" w:rsidDel="00000000" w:rsidP="00000000" w:rsidRDefault="00000000" w:rsidRPr="00000000" w14:paraId="00000025">
            <w:pPr>
              <w:spacing w:after="0" w:line="240" w:lineRule="auto"/>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2060"/>
                <w:sz w:val="24"/>
                <w:szCs w:val="24"/>
                <w:rtl w:val="0"/>
              </w:rPr>
              <w:t xml:space="preserve">TOP. Semináře s.r.o.  IČ: 06546897</w:t>
            </w:r>
            <w:r w:rsidDel="00000000" w:rsidR="00000000" w:rsidRPr="00000000">
              <w:rPr>
                <w:rtl w:val="0"/>
              </w:rPr>
            </w:r>
          </w:p>
        </w:tc>
      </w:tr>
    </w:tbl>
    <w:p w:rsidR="00000000" w:rsidDel="00000000" w:rsidP="00000000" w:rsidRDefault="00000000" w:rsidRPr="00000000" w14:paraId="00000026">
      <w:pPr>
        <w:tabs>
          <w:tab w:val="left" w:leader="none" w:pos="10195"/>
        </w:tabs>
        <w:spacing w:after="0" w:before="40" w:line="240" w:lineRule="auto"/>
        <w:ind w:right="-11"/>
        <w:jc w:val="both"/>
        <w:rPr>
          <w:rFonts w:ascii="Arial" w:cs="Arial" w:eastAsia="Arial" w:hAnsi="Arial"/>
          <w:b w:val="1"/>
          <w:bCs w:val="1"/>
          <w:color w:val="00b0f0"/>
          <w:sz w:val="24"/>
          <w:szCs w:val="24"/>
        </w:rPr>
      </w:pPr>
      <w:r w:rsidDel="00000000" w:rsidR="00000000" w:rsidRPr="00000000">
        <w:rPr>
          <w:rtl w:val="0"/>
        </w:rPr>
      </w:r>
    </w:p>
    <w:p w:rsidR="00000000" w:rsidDel="00000000" w:rsidP="00000000" w:rsidRDefault="00000000" w:rsidRPr="00000000" w14:paraId="00000027">
      <w:pPr>
        <w:spacing w:after="0" w:lineRule="auto"/>
        <w:rPr>
          <w:b w:val="1"/>
          <w:bCs w:val="1"/>
        </w:rPr>
      </w:pPr>
      <w:r w:rsidDel="00000000" w:rsidR="00000000" w:rsidRPr="00000000">
        <w:rPr>
          <w:rtl w:val="0"/>
        </w:rPr>
      </w:r>
    </w:p>
    <w:p w:rsidR="00000000" w:rsidDel="00000000" w:rsidP="00000000" w:rsidRDefault="00000000" w:rsidRPr="00000000" w14:paraId="00000028">
      <w:pPr>
        <w:jc w:val="both"/>
        <w:rPr>
          <w:b w:val="1"/>
          <w:bCs w:val="1"/>
          <w:color w:val="4472c4"/>
          <w:sz w:val="24"/>
          <w:szCs w:val="24"/>
        </w:rPr>
      </w:pPr>
      <w:r w:rsidDel="00000000" w:rsidR="00000000" w:rsidRPr="00000000">
        <w:rPr>
          <w:b w:val="1"/>
          <w:bCs w:val="1"/>
          <w:color w:val="4472c4"/>
          <w:sz w:val="24"/>
          <w:szCs w:val="24"/>
          <w:rtl w:val="0"/>
        </w:rPr>
        <w:t xml:space="preserve">Anotace</w:t>
      </w:r>
    </w:p>
    <w:p w:rsidR="00000000" w:rsidDel="00000000" w:rsidP="00000000" w:rsidRDefault="00000000" w:rsidRPr="00000000" w14:paraId="00000029">
      <w:pPr>
        <w:jc w:val="both"/>
        <w:rPr>
          <w:b w:val="1"/>
          <w:bCs w:val="1"/>
          <w:i w:val="1"/>
          <w:iCs w:val="1"/>
          <w:color w:val="4472c4"/>
          <w:sz w:val="24"/>
          <w:szCs w:val="24"/>
        </w:rPr>
      </w:pPr>
      <w:r w:rsidDel="00000000" w:rsidR="00000000" w:rsidRPr="00000000">
        <w:rPr>
          <w:b w:val="1"/>
          <w:bCs w:val="1"/>
          <w:i w:val="1"/>
          <w:iCs w:val="1"/>
          <w:color w:val="4472c4"/>
          <w:sz w:val="24"/>
          <w:szCs w:val="24"/>
          <w:rtl w:val="0"/>
        </w:rPr>
        <w:t xml:space="preserve">Rozpad partnerského vztahu, ve kterém jsou vychovávány dětmi je velmi náročným životním obdobím, jak pro rodiče, tak děti. Ve většině případů se jedná o rozpad rodičovského páru, v němž oba rodiče dosahují standardů základních rodičovských kompetencí.  Tzn. oba rodiče jsou schopni plně zajistit základní potřeby dítěte způsobem, který odpovídá běžným výchovným metodám (cca 80-82 % rodičovských párů). </w:t>
      </w:r>
    </w:p>
    <w:p w:rsidR="00000000" w:rsidDel="00000000" w:rsidP="00000000" w:rsidRDefault="00000000" w:rsidRPr="00000000" w14:paraId="0000002A">
      <w:pPr>
        <w:jc w:val="both"/>
        <w:rPr>
          <w:b w:val="1"/>
          <w:bCs w:val="1"/>
          <w:i w:val="1"/>
          <w:iCs w:val="1"/>
          <w:color w:val="4472c4"/>
          <w:sz w:val="24"/>
          <w:szCs w:val="24"/>
        </w:rPr>
      </w:pPr>
      <w:r w:rsidDel="00000000" w:rsidR="00000000" w:rsidRPr="00000000">
        <w:rPr>
          <w:b w:val="1"/>
          <w:bCs w:val="1"/>
          <w:i w:val="1"/>
          <w:iCs w:val="1"/>
          <w:color w:val="4472c4"/>
          <w:sz w:val="24"/>
          <w:szCs w:val="24"/>
          <w:rtl w:val="0"/>
        </w:rPr>
        <w:t xml:space="preserve">V tomto kontextu je rozpad rodičovského vztahu obdobím, v němž dochází k transformaci vlastní rodičovské role a forem kooperace mezi rodiči. Kdy dítě není primárně ohroženo tím, že by o něj jeden z rodičů či oba nebyli schopni kvalitně pečovat, ale případným konfliktem, který se odehrává mezi jeho nejbližším osobami. Míra závažnosti dopadu rodičovského vztahu na dítě, tak není dána individuálními (ne)schopnostmi rodičů, nebo typem porozvodové péče. Ale intenzitou, délkou a hloubkou konfliktu mezi rodiči. Přibližně 10-12 % rodičům, pro které je nalezení nového uspořádání rodiny obtížné, lze pomoci prostřednictvím odborné pomoci (edukace, poradenství, mediace, indikovaná a rodiči poptávaná terapie). V některých případech je konflikt mezi rodiči dítěte natolik závažný, že je možné ho v souladu s moderními standardy označit za „vysoko konfliktní“ (cca 5-6 % rodičovských párů). </w:t>
      </w:r>
    </w:p>
    <w:p w:rsidR="00000000" w:rsidDel="00000000" w:rsidP="00000000" w:rsidRDefault="00000000" w:rsidRPr="00000000" w14:paraId="0000002B">
      <w:pPr>
        <w:spacing w:line="276" w:lineRule="auto"/>
        <w:jc w:val="both"/>
        <w:rPr>
          <w:b w:val="1"/>
          <w:bCs w:val="1"/>
          <w:i w:val="1"/>
          <w:iCs w:val="1"/>
          <w:color w:val="4472c4"/>
          <w:sz w:val="24"/>
          <w:szCs w:val="24"/>
        </w:rPr>
      </w:pPr>
      <w:r w:rsidDel="00000000" w:rsidR="00000000" w:rsidRPr="00000000">
        <w:rPr>
          <w:b w:val="1"/>
          <w:bCs w:val="1"/>
          <w:i w:val="1"/>
          <w:iCs w:val="1"/>
          <w:color w:val="4472c4"/>
          <w:sz w:val="24"/>
          <w:szCs w:val="24"/>
          <w:rtl w:val="0"/>
        </w:rPr>
        <w:t xml:space="preserve">Včasné detekování míry a úrovně konfliktu mezi rodiči může pomoci vhodně nasměřovat odpovídající pomoc. Včetně indikací a kontraindikací pro jednotlivé formy pomoci. Systematické mapování těchto situací pak umožňuje určit, kdy se už míra konfliktu rodičů promítá v ohrožení dítěte (psychické týrání, zanedbávání).</w:t>
      </w:r>
    </w:p>
    <w:p w:rsidR="00000000" w:rsidDel="00000000" w:rsidP="00000000" w:rsidRDefault="00000000" w:rsidRPr="00000000" w14:paraId="0000002C">
      <w:pPr>
        <w:jc w:val="both"/>
        <w:rPr>
          <w:b w:val="1"/>
          <w:bCs w:val="1"/>
          <w:color w:val="4472c4"/>
          <w:sz w:val="32"/>
          <w:szCs w:val="32"/>
        </w:rPr>
      </w:pPr>
      <w:r w:rsidDel="00000000" w:rsidR="00000000" w:rsidRPr="00000000">
        <w:rPr>
          <w:b w:val="1"/>
          <w:bCs w:val="1"/>
          <w:color w:val="4472c4"/>
          <w:sz w:val="32"/>
          <w:szCs w:val="32"/>
          <w:rtl w:val="0"/>
        </w:rPr>
        <w:t xml:space="preserve">PROGRAM</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472c4"/>
          <w:sz w:val="24"/>
          <w:szCs w:val="24"/>
          <w:u w:val="none"/>
          <w:shd w:fill="auto" w:val="clear"/>
          <w:vertAlign w:val="baseline"/>
          <w:rtl w:val="0"/>
        </w:rPr>
        <w:t xml:space="preserve">Úvod do problematiky</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Základní pojmy, představené programu</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472c4"/>
          <w:sz w:val="24"/>
          <w:szCs w:val="24"/>
          <w:u w:val="none"/>
          <w:shd w:fill="auto" w:val="clear"/>
          <w:vertAlign w:val="baseline"/>
          <w:rtl w:val="0"/>
        </w:rPr>
        <w:t xml:space="preserve">Rozvod a konflikt</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Rozvod/rozchod je většinou přirozeně doprovázen v nějaké míře konfliktem mezi rodiči. Prospívání dítěte a konflikt. Četnost (poměr) vysoce konfliktních rozvodů. </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472c4"/>
          <w:sz w:val="24"/>
          <w:szCs w:val="24"/>
          <w:u w:val="none"/>
          <w:shd w:fill="auto" w:val="clear"/>
          <w:vertAlign w:val="baseline"/>
          <w:rtl w:val="0"/>
        </w:rPr>
        <w:t xml:space="preserve">Vysoce konfliktní rozvod/rozchod</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Vysoce konfliktní rozvod/rozchod-základní definice (vztahové mezi rodiči). Vysoce konfliktní rozvod/rozchod-základní definice (vztahové mezi rodičem a dítětem). Vysoce konfliktní rozvod nebo vysoce konfliktní soužití.</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472c4"/>
          <w:sz w:val="24"/>
          <w:szCs w:val="24"/>
          <w:u w:val="none"/>
          <w:shd w:fill="auto" w:val="clear"/>
          <w:vertAlign w:val="baseline"/>
          <w:rtl w:val="0"/>
        </w:rPr>
        <w:t xml:space="preserve">Rodičovské styly</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•Konfliktní rodičovství •Souběžné rodičovství •Sdílené rodičovství</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472c4"/>
          <w:sz w:val="24"/>
          <w:szCs w:val="24"/>
          <w:u w:val="none"/>
          <w:shd w:fill="auto" w:val="clear"/>
          <w:vertAlign w:val="baseline"/>
          <w:rtl w:val="0"/>
        </w:rPr>
        <w:t xml:space="preserve">Vysoko konfliktní rozvod a ohrožení dítěte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Možné dopady vysoko konfliktního rozpadu rodičovského vztahu na dítě. Vysoce konfliktní rozvod a ohrožení dítěte. Funkční a nefunkční intervence v situaci vysoce konfliktního rozvodu – poskytovatelé podpůrné pomoci. Funkční a nefunkční intervence v situaci vysoce konfliktního rozvodu – na úrovni opatrovnického řízení. Souvislost mezi vysoce konfliktními rozvody a nekompetencí rodičů. </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1"/>
          <w:bCs w:val="1"/>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4472c4"/>
          <w:sz w:val="24"/>
          <w:szCs w:val="24"/>
          <w:u w:val="none"/>
          <w:shd w:fill="auto" w:val="clear"/>
          <w:vertAlign w:val="baseline"/>
          <w:rtl w:val="0"/>
        </w:rPr>
        <w:t xml:space="preserve">Závěr</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Times New Roman" w:cs="Times New Roman" w:eastAsia="Times New Roman" w:hAnsi="Times New Roman"/>
          <w:b w:val="0"/>
          <w:bCs w:val="0"/>
          <w:i w:val="0"/>
          <w:iCs w:val="0"/>
          <w:smallCaps w:val="0"/>
          <w:strike w:val="0"/>
          <w:color w:val="4472c4"/>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4472c4"/>
          <w:sz w:val="24"/>
          <w:szCs w:val="24"/>
          <w:u w:val="none"/>
          <w:shd w:fill="auto" w:val="clear"/>
          <w:vertAlign w:val="baseline"/>
          <w:rtl w:val="0"/>
        </w:rPr>
        <w:t xml:space="preserve">Shrnutí a dotazy posluchačů.</w:t>
      </w:r>
    </w:p>
    <w:p w:rsidR="00000000" w:rsidDel="00000000" w:rsidP="00000000" w:rsidRDefault="00000000" w:rsidRPr="00000000" w14:paraId="00000039">
      <w:pPr>
        <w:spacing w:line="276" w:lineRule="auto"/>
        <w:jc w:val="both"/>
        <w:rPr>
          <w:rFonts w:ascii="Arial" w:cs="Arial" w:eastAsia="Arial" w:hAnsi="Arial"/>
          <w:b w:val="1"/>
          <w:bCs w:val="1"/>
          <w:i w:val="1"/>
          <w:iCs w:val="1"/>
          <w:color w:val="4472c4"/>
          <w:sz w:val="24"/>
          <w:szCs w:val="24"/>
        </w:rPr>
      </w:pPr>
      <w:r w:rsidDel="00000000" w:rsidR="00000000" w:rsidRPr="00000000">
        <w:rPr>
          <w:rtl w:val="0"/>
        </w:rPr>
      </w:r>
    </w:p>
    <w:p w:rsidR="00000000" w:rsidDel="00000000" w:rsidP="00000000" w:rsidRDefault="00000000" w:rsidRPr="00000000" w14:paraId="0000003A">
      <w:pPr>
        <w:spacing w:after="0" w:lineRule="auto"/>
        <w:rPr>
          <w:b w:val="1"/>
          <w:bCs w:val="1"/>
          <w:sz w:val="32"/>
          <w:szCs w:val="32"/>
        </w:rPr>
      </w:pPr>
      <w:r w:rsidDel="00000000" w:rsidR="00000000" w:rsidRPr="00000000">
        <w:rPr>
          <w:rtl w:val="0"/>
        </w:rPr>
      </w:r>
    </w:p>
    <w:p w:rsidR="00000000" w:rsidDel="00000000" w:rsidP="00000000" w:rsidRDefault="00000000" w:rsidRPr="00000000" w14:paraId="0000003B">
      <w:pPr>
        <w:tabs>
          <w:tab w:val="left" w:leader="none" w:pos="10195"/>
        </w:tabs>
        <w:spacing w:after="0" w:before="40" w:line="240" w:lineRule="auto"/>
        <w:ind w:right="-11"/>
        <w:jc w:val="both"/>
        <w:rPr>
          <w:rFonts w:ascii="Arial" w:cs="Arial" w:eastAsia="Arial" w:hAnsi="Arial"/>
          <w:color w:val="595959"/>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b0f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b0f0"/>
          <w:sz w:val="20"/>
          <w:szCs w:val="20"/>
          <w:u w:val="none"/>
          <w:shd w:fill="auto" w:val="clear"/>
          <w:vertAlign w:val="baseline"/>
          <w:rtl w:val="0"/>
        </w:rPr>
        <w:t xml:space="preserve">Součástí ceny je osvědčení o absolvování semináře, materiály k tématu v elektronické podobě </w:t>
      </w:r>
    </w:p>
    <w:p w:rsidR="00000000" w:rsidDel="00000000" w:rsidP="00000000" w:rsidRDefault="00000000" w:rsidRPr="00000000" w14:paraId="0000003D">
      <w:pPr>
        <w:tabs>
          <w:tab w:val="left" w:leader="none" w:pos="3330"/>
        </w:tabs>
        <w:ind w:right="-153"/>
        <w:jc w:val="both"/>
        <w:rPr>
          <w:b w:val="1"/>
          <w:bCs w:val="1"/>
          <w:color w:val="00b0f0"/>
          <w:sz w:val="20"/>
          <w:szCs w:val="20"/>
        </w:rPr>
      </w:pPr>
      <w:r w:rsidDel="00000000" w:rsidR="00000000" w:rsidRPr="00000000">
        <w:rPr>
          <w:rtl w:val="0"/>
        </w:rPr>
      </w:r>
    </w:p>
    <w:p w:rsidR="00000000" w:rsidDel="00000000" w:rsidP="00000000" w:rsidRDefault="00000000" w:rsidRPr="00000000" w14:paraId="0000003E">
      <w:pPr>
        <w:tabs>
          <w:tab w:val="left" w:leader="none" w:pos="3330"/>
        </w:tabs>
        <w:ind w:right="-153"/>
        <w:jc w:val="both"/>
        <w:rPr>
          <w:b w:val="1"/>
          <w:bCs w:val="1"/>
          <w:color w:val="00b0f0"/>
          <w:sz w:val="20"/>
          <w:szCs w:val="20"/>
        </w:rPr>
      </w:pPr>
      <w:r w:rsidDel="00000000" w:rsidR="00000000" w:rsidRPr="00000000">
        <w:rPr>
          <w:b w:val="1"/>
          <w:bCs w:val="1"/>
          <w:color w:val="00b0f0"/>
          <w:sz w:val="20"/>
          <w:szCs w:val="20"/>
          <w:rtl w:val="0"/>
        </w:rPr>
        <w:t xml:space="preserve">Jak se přihlásit:</w:t>
      </w:r>
      <w:r w:rsidDel="00000000" w:rsidR="00000000" w:rsidRPr="00000000">
        <w:rPr>
          <w:b w:val="1"/>
          <w:bCs w:val="1"/>
          <w:color w:val="00b0f0"/>
          <w:rtl w:val="0"/>
        </w:rPr>
        <w:t xml:space="preserve">  </w:t>
        <w:tab/>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53"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Zaplaťte účastnický poplatek a vyplňte přihlašovací formulář, prostřednictvím našich webových stránek </w:t>
      </w:r>
      <w:hyperlink r:id="rId8">
        <w:r w:rsidDel="00000000" w:rsidR="00000000" w:rsidRPr="00000000">
          <w:rPr>
            <w:rFonts w:ascii="Calibri" w:cs="Calibri" w:eastAsia="Calibri" w:hAnsi="Calibri"/>
            <w:b w:val="0"/>
            <w:bCs w:val="0"/>
            <w:i w:val="0"/>
            <w:iCs w:val="0"/>
            <w:smallCaps w:val="0"/>
            <w:strike w:val="0"/>
            <w:color w:val="0000ff"/>
            <w:sz w:val="20"/>
            <w:szCs w:val="20"/>
            <w:u w:val="single"/>
            <w:shd w:fill="auto" w:val="clear"/>
            <w:vertAlign w:val="baseline"/>
            <w:rtl w:val="0"/>
          </w:rPr>
          <w:t xml:space="preserve">www.topseminare.cz</w:t>
        </w:r>
      </w:hyperlink>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Úředníci ÚSC mohou realizovat platbu za seminář až po obdržení faktury po semináři</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Nejasnosti a dotazy rádi vyřídíme telefonicky či emailem (kontakty viz výše nebo na webových stránkách). </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Ve lhůtě tři dny a méně před konáním akce není možné zrušit účast na semináři. Kdykoli je možné nahlásit náhradníka na </w:t>
      </w:r>
      <w:hyperlink r:id="rId9">
        <w:r w:rsidDel="00000000" w:rsidR="00000000" w:rsidRPr="00000000">
          <w:rPr>
            <w:rFonts w:ascii="Calibri" w:cs="Calibri" w:eastAsia="Calibri" w:hAnsi="Calibri"/>
            <w:b w:val="1"/>
            <w:bCs w:val="1"/>
            <w:i w:val="0"/>
            <w:iCs w:val="0"/>
            <w:smallCaps w:val="0"/>
            <w:strike w:val="0"/>
            <w:color w:val="0000ff"/>
            <w:sz w:val="20"/>
            <w:szCs w:val="20"/>
            <w:u w:val="single"/>
            <w:shd w:fill="auto" w:val="clear"/>
            <w:vertAlign w:val="baseline"/>
            <w:rtl w:val="0"/>
          </w:rPr>
          <w:t xml:space="preserve">info@topseminare.cz</w:t>
        </w:r>
      </w:hyperlink>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0">
      <w:pPr>
        <w:ind w:right="-153"/>
        <w:rPr>
          <w:b w:val="1"/>
          <w:bCs w:val="1"/>
          <w:color w:val="00b0f0"/>
          <w:sz w:val="20"/>
          <w:szCs w:val="20"/>
        </w:rPr>
      </w:pPr>
      <w:r w:rsidDel="00000000" w:rsidR="00000000" w:rsidRPr="00000000">
        <w:rPr>
          <w:rtl w:val="0"/>
        </w:rPr>
      </w:r>
    </w:p>
    <w:p w:rsidR="00000000" w:rsidDel="00000000" w:rsidP="00000000" w:rsidRDefault="00000000" w:rsidRPr="00000000" w14:paraId="00000041">
      <w:pPr>
        <w:ind w:right="-153"/>
        <w:rPr>
          <w:b w:val="1"/>
          <w:bCs w:val="1"/>
          <w:color w:val="00b0f0"/>
          <w:sz w:val="20"/>
          <w:szCs w:val="20"/>
        </w:rPr>
      </w:pPr>
      <w:r w:rsidDel="00000000" w:rsidR="00000000" w:rsidRPr="00000000">
        <w:rPr>
          <w:b w:val="1"/>
          <w:bCs w:val="1"/>
          <w:color w:val="00b0f0"/>
          <w:sz w:val="20"/>
          <w:szCs w:val="20"/>
          <w:rtl w:val="0"/>
        </w:rPr>
        <w:t xml:space="preserve">Zaplacení a smluvní podmínky: </w:t>
      </w:r>
    </w:p>
    <w:p w:rsidR="00000000" w:rsidDel="00000000" w:rsidP="00000000" w:rsidRDefault="00000000" w:rsidRPr="00000000" w14:paraId="00000042">
      <w:pPr>
        <w:ind w:right="-153"/>
        <w:rPr>
          <w:b w:val="1"/>
          <w:bCs w:val="1"/>
          <w:color w:val="00b0f0"/>
          <w:sz w:val="20"/>
          <w:szCs w:val="20"/>
        </w:rPr>
      </w:pPr>
      <w:r w:rsidDel="00000000" w:rsidR="00000000" w:rsidRPr="00000000">
        <w:rPr>
          <w:sz w:val="20"/>
          <w:szCs w:val="20"/>
          <w:rtl w:val="0"/>
        </w:rPr>
        <w:t xml:space="preserve">Úhradu semináře proveďte na náš </w:t>
      </w:r>
      <w:r w:rsidDel="00000000" w:rsidR="00000000" w:rsidRPr="00000000">
        <w:rPr>
          <w:b w:val="1"/>
          <w:bCs w:val="1"/>
          <w:i w:val="1"/>
          <w:iCs w:val="1"/>
          <w:color w:val="ff0000"/>
          <w:sz w:val="20"/>
          <w:szCs w:val="20"/>
          <w:rtl w:val="0"/>
        </w:rPr>
        <w:t xml:space="preserve">účet č. 5000500032/5500 Raiffeisen Bank</w:t>
      </w:r>
      <w:r w:rsidDel="00000000" w:rsidR="00000000" w:rsidRPr="00000000">
        <w:rPr>
          <w:sz w:val="20"/>
          <w:szCs w:val="20"/>
          <w:rtl w:val="0"/>
        </w:rPr>
        <w:t xml:space="preserve">, neopomeňte uvést správný variabilní symbol. Daňový doklad obdrží účastníci v den konání semináře. V případě neúčasti se vložné nevrací, ale je možné poslat náhradníka. </w:t>
      </w:r>
      <w:r w:rsidDel="00000000" w:rsidR="00000000" w:rsidRPr="00000000">
        <w:rPr>
          <w:rtl w:val="0"/>
        </w:rPr>
      </w:r>
    </w:p>
    <w:sectPr>
      <w:headerReference r:id="rId10" w:type="default"/>
      <w:headerReference r:id="rId11" w:type="first"/>
      <w:headerReference r:id="rId12" w:type="even"/>
      <w:footerReference r:id="rId13" w:type="default"/>
      <w:footerReference r:id="rId14" w:type="first"/>
      <w:footerReference r:id="rId15" w:type="even"/>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Trebuchet MS"/>
  <w:font w:name="Twentieth 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c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topseminare.cz" TargetMode="External"/><Relationship Id="rId15" Type="http://schemas.openxmlformats.org/officeDocument/2006/relationships/footer" Target="foot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www.topseminar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