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12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-457833</wp:posOffset>
                </wp:positionV>
                <wp:extent cx="8247380" cy="2141220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222300" y="2709375"/>
                          <a:ext cx="8247380" cy="2141220"/>
                          <a:chOff x="1222300" y="2709375"/>
                          <a:chExt cx="8247375" cy="2141250"/>
                        </a:xfrm>
                      </wpg:grpSpPr>
                      <wpg:grpSp>
                        <wpg:cNvGrpSpPr/>
                        <wpg:grpSpPr>
                          <a:xfrm>
                            <a:off x="1222310" y="2709390"/>
                            <a:ext cx="8247380" cy="2141220"/>
                            <a:chOff x="-7144" y="-7144"/>
                            <a:chExt cx="6005513" cy="19240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-7144" y="-7144"/>
                              <a:ext cx="6005500" cy="19240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2121694" y="-7144"/>
                              <a:ext cx="3876675" cy="1762125"/>
                            </a:xfrm>
                            <a:custGeom>
                              <a:rect b="b" l="l" r="r" t="t"/>
                              <a:pathLst>
                                <a:path extrusionOk="0" h="1762125" w="3876675">
                                  <a:moveTo>
                                    <a:pt x="3869531" y="1359694"/>
                                  </a:moveTo>
                                  <a:cubicBezTo>
                                    <a:pt x="3869531" y="1359694"/>
                                    <a:pt x="3379946" y="1834039"/>
                                    <a:pt x="2359819" y="1744504"/>
                                  </a:cubicBezTo>
                                  <a:cubicBezTo>
                                    <a:pt x="1339691" y="1654969"/>
                                    <a:pt x="936784" y="1180624"/>
                                    <a:pt x="7144" y="1287304"/>
                                  </a:cubicBezTo>
                                  <a:lnTo>
                                    <a:pt x="7144" y="7144"/>
                                  </a:lnTo>
                                  <a:lnTo>
                                    <a:pt x="3869531" y="7144"/>
                                  </a:lnTo>
                                  <a:lnTo>
                                    <a:pt x="3869531" y="13596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683C6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-7144" y="-7144"/>
                              <a:ext cx="6000750" cy="1924050"/>
                            </a:xfrm>
                            <a:custGeom>
                              <a:rect b="b" l="l" r="r" t="t"/>
                              <a:pathLst>
                                <a:path extrusionOk="0" h="1924050" w="6000750">
                                  <a:moveTo>
                                    <a:pt x="7144" y="1699736"/>
                                  </a:moveTo>
                                  <a:cubicBezTo>
                                    <a:pt x="7144" y="1699736"/>
                                    <a:pt x="1410176" y="2317909"/>
                                    <a:pt x="2934176" y="1484471"/>
                                  </a:cubicBezTo>
                                  <a:cubicBezTo>
                                    <a:pt x="4459129" y="651986"/>
                                    <a:pt x="5998369" y="893921"/>
                                    <a:pt x="5998369" y="893921"/>
                                  </a:cubicBezTo>
                                  <a:lnTo>
                                    <a:pt x="5998369" y="7144"/>
                                  </a:lnTo>
                                  <a:lnTo>
                                    <a:pt x="7144" y="7144"/>
                                  </a:lnTo>
                                  <a:lnTo>
                                    <a:pt x="7144" y="16997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CADE4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-7144" y="-7144"/>
                              <a:ext cx="6000750" cy="904875"/>
                            </a:xfrm>
                            <a:custGeom>
                              <a:rect b="b" l="l" r="r" t="t"/>
                              <a:pathLst>
                                <a:path extrusionOk="0" h="904875" w="6000750">
                                  <a:moveTo>
                                    <a:pt x="7144" y="7144"/>
                                  </a:moveTo>
                                  <a:lnTo>
                                    <a:pt x="7144" y="613886"/>
                                  </a:lnTo>
                                  <a:cubicBezTo>
                                    <a:pt x="647224" y="1034891"/>
                                    <a:pt x="2136934" y="964406"/>
                                    <a:pt x="3546634" y="574834"/>
                                  </a:cubicBezTo>
                                  <a:cubicBezTo>
                                    <a:pt x="4882039" y="205264"/>
                                    <a:pt x="5998369" y="893921"/>
                                    <a:pt x="5998369" y="893921"/>
                                  </a:cubicBezTo>
                                  <a:lnTo>
                                    <a:pt x="5998369" y="7144"/>
                                  </a:lnTo>
                                  <a:lnTo>
                                    <a:pt x="7144" y="7144"/>
                                  </a:ln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1CADE4"/>
                                </a:gs>
                                <a:gs pos="100000">
                                  <a:srgbClr val="75CEEF"/>
                                </a:gs>
                              </a:gsLst>
                              <a:lin ang="0" scaled="0"/>
                            </a:gra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3176111" y="924401"/>
                              <a:ext cx="2819400" cy="828675"/>
                            </a:xfrm>
                            <a:custGeom>
                              <a:rect b="b" l="l" r="r" t="t"/>
                              <a:pathLst>
                                <a:path extrusionOk="0" h="828675" w="2819400">
                                  <a:moveTo>
                                    <a:pt x="7144" y="481489"/>
                                  </a:moveTo>
                                  <a:cubicBezTo>
                                    <a:pt x="380524" y="602456"/>
                                    <a:pt x="751999" y="764381"/>
                                    <a:pt x="1305401" y="812959"/>
                                  </a:cubicBezTo>
                                  <a:cubicBezTo>
                                    <a:pt x="2325529" y="902494"/>
                                    <a:pt x="2815114" y="428149"/>
                                    <a:pt x="2815114" y="428149"/>
                                  </a:cubicBezTo>
                                  <a:lnTo>
                                    <a:pt x="2815114" y="7144"/>
                                  </a:lnTo>
                                  <a:cubicBezTo>
                                    <a:pt x="2332196" y="236696"/>
                                    <a:pt x="1376839" y="568166"/>
                                    <a:pt x="7144" y="481489"/>
                                  </a:cubicBez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2683C6"/>
                                </a:gs>
                                <a:gs pos="100000">
                                  <a:srgbClr val="1C6294"/>
                                </a:gs>
                              </a:gsLst>
                              <a:lin ang="0" scaled="0"/>
                            </a:gra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-457833</wp:posOffset>
                </wp:positionV>
                <wp:extent cx="8247380" cy="214122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47380" cy="21412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10790.0" w:type="dxa"/>
        <w:jc w:val="center"/>
        <w:tblLayout w:type="fixed"/>
        <w:tblLook w:val="0600"/>
      </w:tblPr>
      <w:tblGrid>
        <w:gridCol w:w="10790"/>
        <w:tblGridChange w:id="0">
          <w:tblGrid>
            <w:gridCol w:w="10790"/>
          </w:tblGrid>
        </w:tblGridChange>
      </w:tblGrid>
      <w:tr>
        <w:trPr>
          <w:cantSplit w:val="0"/>
          <w:trHeight w:val="86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0" w:line="240" w:lineRule="auto"/>
              <w:ind w:right="720"/>
              <w:rPr>
                <w:rFonts w:ascii="Twentieth Century" w:cs="Twentieth Century" w:eastAsia="Twentieth Century" w:hAnsi="Twentieth Century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03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          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TOP Semináře s.r.o.,</w:t>
            </w:r>
          </w:p>
          <w:p w:rsidR="00000000" w:rsidDel="00000000" w:rsidP="00000000" w:rsidRDefault="00000000" w:rsidRPr="00000000" w14:paraId="00000004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Vzdělávací agentura</w:t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Akreditace programů MPSV </w:t>
            </w:r>
          </w:p>
          <w:p w:rsidR="00000000" w:rsidDel="00000000" w:rsidP="00000000" w:rsidRDefault="00000000" w:rsidRPr="00000000" w14:paraId="00000006">
            <w:pPr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           Akreditovaná vzdělávací instituce MVČR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AK/I-53/201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rPr>
                <w:rFonts w:ascii="Arial" w:cs="Arial" w:eastAsia="Arial" w:hAnsi="Arial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8"/>
                <w:szCs w:val="28"/>
                <w:rtl w:val="0"/>
              </w:rPr>
              <w:t xml:space="preserve">        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Zátiší 476/12, Ostrava – Svinov, 721 00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6156960</wp:posOffset>
                  </wp:positionH>
                  <wp:positionV relativeFrom="paragraph">
                    <wp:posOffset>9525</wp:posOffset>
                  </wp:positionV>
                  <wp:extent cx="1021080" cy="1074420"/>
                  <wp:effectExtent b="0" l="0" r="0" t="0"/>
                  <wp:wrapNone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080" cy="10744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8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IČ: 06546897 </w:t>
            </w:r>
          </w:p>
          <w:p w:rsidR="00000000" w:rsidDel="00000000" w:rsidP="00000000" w:rsidRDefault="00000000" w:rsidRPr="00000000" w14:paraId="00000009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Mobil:602 707 481, E-mail: info@topseminare.cz</w:t>
            </w:r>
          </w:p>
          <w:p w:rsidR="00000000" w:rsidDel="00000000" w:rsidP="00000000" w:rsidRDefault="00000000" w:rsidRPr="00000000" w14:paraId="0000000A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více informací na: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www.topseminare.cz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ind w:left="720" w:right="720" w:firstLine="0"/>
              <w:rPr>
                <w:rFonts w:ascii="Twentieth Century" w:cs="Twentieth Century" w:eastAsia="Twentieth Century" w:hAnsi="Twentieth Century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spacing w:after="40" w:before="840" w:line="240" w:lineRule="auto"/>
        <w:ind w:right="720"/>
        <w:rPr>
          <w:rFonts w:ascii="Twentieth Century" w:cs="Twentieth Century" w:eastAsia="Twentieth Century" w:hAnsi="Twentieth Century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595959"/>
          <w:sz w:val="20"/>
          <w:szCs w:val="20"/>
          <w:rtl w:val="0"/>
        </w:rPr>
        <w:t xml:space="preserve">si Vás dovolujeme pozvat na seminář</w:t>
      </w:r>
    </w:p>
    <w:p w:rsidR="00000000" w:rsidDel="00000000" w:rsidP="00000000" w:rsidRDefault="00000000" w:rsidRPr="00000000" w14:paraId="0000000E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color w:val="3366ff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b w:val="1"/>
          <w:bCs w:val="1"/>
          <w:color w:val="4472c4"/>
          <w:sz w:val="44"/>
          <w:szCs w:val="4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sz w:val="44"/>
          <w:szCs w:val="44"/>
          <w:rtl w:val="0"/>
        </w:rPr>
        <w:t xml:space="preserve">„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44"/>
          <w:szCs w:val="44"/>
          <w:rtl w:val="0"/>
        </w:rPr>
        <w:t xml:space="preserve">Participace dítěte v situaci rozpadu rodiny – zjišťování názoru dítěte</w:t>
      </w: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sz w:val="44"/>
          <w:szCs w:val="44"/>
          <w:rtl w:val="0"/>
        </w:rPr>
        <w:t xml:space="preserve">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b9bd5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  <w:color w:val="7030a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7030a0"/>
          <w:rtl w:val="0"/>
        </w:rPr>
        <w:t xml:space="preserve">akreditace MPSV:</w:t>
      </w:r>
      <w:r w:rsidDel="00000000" w:rsidR="00000000" w:rsidRPr="00000000">
        <w:rPr>
          <w:color w:val="7030a0"/>
          <w:shd w:fill="d5dce4" w:val="clear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7030a0"/>
          <w:sz w:val="24"/>
          <w:szCs w:val="24"/>
          <w:rtl w:val="0"/>
        </w:rPr>
        <w:t xml:space="preserve">Participace dítěte v situaci rozpadu rodiny – zjišťování názoru dítěte</w:t>
      </w:r>
      <w:r w:rsidDel="00000000" w:rsidR="00000000" w:rsidRPr="00000000">
        <w:rPr>
          <w:rFonts w:ascii="Arial" w:cs="Arial" w:eastAsia="Arial" w:hAnsi="Arial"/>
          <w:color w:val="7030a0"/>
          <w:rtl w:val="0"/>
        </w:rPr>
        <w:t xml:space="preserve">. Akreditace č.: A2023/0231-SP/PC. (8. hodin) kombinovaná forma (akreditace náleží společnosti NIDAR)</w:t>
      </w:r>
      <w:r w:rsidDel="00000000" w:rsidR="00000000" w:rsidRPr="00000000">
        <w:rPr>
          <w:rtl w:val="0"/>
        </w:rPr>
      </w:r>
    </w:p>
    <w:tbl>
      <w:tblPr>
        <w:tblStyle w:val="Table2"/>
        <w:tblW w:w="10708.0" w:type="dxa"/>
        <w:jc w:val="left"/>
        <w:tblInd w:w="15.0" w:type="dxa"/>
        <w:tblLayout w:type="fixed"/>
        <w:tblLook w:val="0400"/>
      </w:tblPr>
      <w:tblGrid>
        <w:gridCol w:w="3513"/>
        <w:gridCol w:w="7195"/>
        <w:tblGridChange w:id="0">
          <w:tblGrid>
            <w:gridCol w:w="3513"/>
            <w:gridCol w:w="7195"/>
          </w:tblGrid>
        </w:tblGridChange>
      </w:tblGrid>
      <w:tr>
        <w:trPr>
          <w:cantSplit w:val="0"/>
          <w:trHeight w:val="642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shd w:fill="00a4de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Participace dítěte v situaci rozpadu rodiny – zjišťování názoru dítěte</w:t>
            </w:r>
            <w:r w:rsidDel="00000000" w:rsidR="00000000" w:rsidRPr="00000000">
              <w:rPr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 (videokurz)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7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Akreditace: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Calibri" w:cs="Calibri" w:eastAsia="Calibri" w:hAnsi="Calibri"/>
                <w:color w:val="7030a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7030a0"/>
                <w:rtl w:val="0"/>
              </w:rPr>
              <w:t xml:space="preserve">MPSV: A2023/0231-SP/PC (8. hodin) online forma (Akreditace náleží společnosti NIDAR)</w:t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Variabilní symbol: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202601050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0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Přednáší: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Mgr. Terezie Pemová: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Národní institut pro rodinu a děti, spoluautorka knih s danou problematikou, uznávaná lektorka.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Termín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23.10. 2026 (pátek) od 8.00,00 hod.</w:t>
            </w:r>
            <w:r w:rsidDel="00000000" w:rsidR="00000000" w:rsidRPr="00000000">
              <w:rPr>
                <w:rFonts w:ascii="Calibri" w:cs="Calibri" w:eastAsia="Calibri" w:hAnsi="Calibri"/>
                <w:color w:val="00206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(prezence od 7,30hod – 8,00 hod.)</w:t>
              <w:br w:type="textWrapping"/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Místo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ee0000"/>
                <w:sz w:val="24"/>
                <w:szCs w:val="24"/>
                <w:rtl w:val="0"/>
              </w:rPr>
              <w:t xml:space="preserve">ONLINE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Cena: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c00000"/>
                <w:sz w:val="24"/>
                <w:szCs w:val="24"/>
                <w:rtl w:val="0"/>
              </w:rPr>
              <w:t xml:space="preserve">1 990 Kč / osoba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Organizace: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TOP. Semináře s.r.o.  IČ: 06546897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tabs>
          <w:tab w:val="left" w:leader="none" w:pos="10195"/>
        </w:tabs>
        <w:spacing w:after="0" w:before="40" w:line="240" w:lineRule="auto"/>
        <w:ind w:right="-11"/>
        <w:jc w:val="both"/>
        <w:rPr>
          <w:rFonts w:ascii="Arial" w:cs="Arial" w:eastAsia="Arial" w:hAnsi="Arial"/>
          <w:b w:val="1"/>
          <w:bCs w:val="1"/>
          <w:color w:val="00b0f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Anotace</w:t>
      </w:r>
    </w:p>
    <w:p w:rsidR="00000000" w:rsidDel="00000000" w:rsidP="00000000" w:rsidRDefault="00000000" w:rsidRPr="00000000" w14:paraId="00000028">
      <w:pPr>
        <w:jc w:val="both"/>
        <w:rPr>
          <w:b w:val="1"/>
          <w:bCs w:val="1"/>
          <w:color w:val="44546a"/>
        </w:rPr>
      </w:pPr>
      <w:r w:rsidDel="00000000" w:rsidR="00000000" w:rsidRPr="00000000">
        <w:rPr>
          <w:b w:val="1"/>
          <w:bCs w:val="1"/>
          <w:color w:val="44546a"/>
          <w:rtl w:val="0"/>
        </w:rPr>
        <w:t xml:space="preserve">Kurz je určen sociálním pracovníkům v oblasti sociálních služeb i sociálně-právní ochrany dětí, za účelem zvýšení participace dětí v záležitostech, které se jich týkají v souladu s Úmluvou o právech dítěte. Kurz se zaměřuje na především na psychosociální rozměr tohoto tématu se ve specifické situaci rozpadu rodiny. Jedná se o zejména otázky věkových specifik, podpora rodičům při zapojování dětí do rozhodování o porozvodovém uspořádání péče, participace dítěte prostřednictvím kolizního opatrovníka, či jiné služby). Dále jsou účastníci kurzu seznámeni se základními komunikačními dovednostmi a systémovými opatřeními (uspořádání prostor, organizace času, ochrana dítěte před duplicitními úkony atp.). </w:t>
      </w:r>
    </w:p>
    <w:p w:rsidR="00000000" w:rsidDel="00000000" w:rsidP="00000000" w:rsidRDefault="00000000" w:rsidRPr="00000000" w14:paraId="00000029">
      <w:pPr>
        <w:spacing w:line="276" w:lineRule="auto"/>
        <w:jc w:val="both"/>
        <w:rPr>
          <w:rFonts w:ascii="Arial" w:cs="Arial" w:eastAsia="Arial" w:hAnsi="Arial"/>
          <w:b w:val="1"/>
          <w:bCs w:val="1"/>
          <w:i w:val="1"/>
          <w:iCs w:val="1"/>
          <w:color w:val="44546a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44546a"/>
          <w:sz w:val="32"/>
          <w:szCs w:val="32"/>
          <w:rtl w:val="0"/>
        </w:rPr>
        <w:t xml:space="preserve">PROGRAM: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0" w:line="240" w:lineRule="auto"/>
        <w:ind w:left="1080" w:hanging="360"/>
        <w:rPr>
          <w:b w:val="1"/>
          <w:bCs w:val="1"/>
          <w:color w:val="0070c0"/>
        </w:rPr>
      </w:pPr>
      <w:r w:rsidDel="00000000" w:rsidR="00000000" w:rsidRPr="00000000">
        <w:rPr>
          <w:b w:val="1"/>
          <w:bCs w:val="1"/>
          <w:color w:val="0070c0"/>
          <w:rtl w:val="0"/>
        </w:rPr>
        <w:t xml:space="preserve">Úvod </w:t>
      </w:r>
    </w:p>
    <w:p w:rsidR="00000000" w:rsidDel="00000000" w:rsidP="00000000" w:rsidRDefault="00000000" w:rsidRPr="00000000" w14:paraId="0000002B">
      <w:pPr>
        <w:ind w:left="1080" w:firstLine="0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Postavení dítěte v ČR na pozadí platné legislativy. Názory, postoje, přání.</w:t>
      </w:r>
    </w:p>
    <w:p w:rsidR="00000000" w:rsidDel="00000000" w:rsidP="00000000" w:rsidRDefault="00000000" w:rsidRPr="00000000" w14:paraId="0000002C">
      <w:pPr>
        <w:ind w:left="1080" w:firstLine="0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0" w:line="240" w:lineRule="auto"/>
        <w:ind w:left="1080" w:hanging="360"/>
        <w:rPr>
          <w:b w:val="1"/>
          <w:bCs w:val="1"/>
          <w:color w:val="0070c0"/>
        </w:rPr>
      </w:pPr>
      <w:r w:rsidDel="00000000" w:rsidR="00000000" w:rsidRPr="00000000">
        <w:rPr>
          <w:b w:val="1"/>
          <w:bCs w:val="1"/>
          <w:color w:val="0070c0"/>
          <w:rtl w:val="0"/>
        </w:rPr>
        <w:t xml:space="preserve">Význam zjišťování názoru dítěte</w:t>
      </w:r>
    </w:p>
    <w:p w:rsidR="00000000" w:rsidDel="00000000" w:rsidP="00000000" w:rsidRDefault="00000000" w:rsidRPr="00000000" w14:paraId="0000002E">
      <w:pPr>
        <w:ind w:left="1080" w:firstLine="0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Zjišťování názoru dítěte jako výraz vyjádření základních potřeb. Důvody pro zpochybňování nutnosti zjišťování názoru dítěte. Studie zdůvodňující potřebu zjišťování názoru dítěte. Význam rozhovoru s dítětem (zjišťování jeho názoru).</w:t>
      </w:r>
    </w:p>
    <w:p w:rsidR="00000000" w:rsidDel="00000000" w:rsidP="00000000" w:rsidRDefault="00000000" w:rsidRPr="00000000" w14:paraId="0000002F">
      <w:pPr>
        <w:ind w:left="1080" w:firstLine="0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0" w:line="240" w:lineRule="auto"/>
        <w:ind w:left="1080" w:hanging="360"/>
        <w:rPr>
          <w:b w:val="1"/>
          <w:bCs w:val="1"/>
          <w:color w:val="0070c0"/>
        </w:rPr>
      </w:pPr>
      <w:r w:rsidDel="00000000" w:rsidR="00000000" w:rsidRPr="00000000">
        <w:rPr>
          <w:b w:val="1"/>
          <w:bCs w:val="1"/>
          <w:color w:val="0070c0"/>
          <w:rtl w:val="0"/>
        </w:rPr>
        <w:t xml:space="preserve">Vedení rozhovoru s dítětem</w:t>
      </w:r>
    </w:p>
    <w:p w:rsidR="00000000" w:rsidDel="00000000" w:rsidP="00000000" w:rsidRDefault="00000000" w:rsidRPr="00000000" w14:paraId="00000031">
      <w:pPr>
        <w:ind w:left="1080" w:firstLine="0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Fáze zapojování dítěte. Základní podmínky úspěšného rozhovoru s dítětem. Modelový postup rozhovoru. Posouzení orientace dítěte v čase a situaci. Pravidla vedení rozhovoru. Běžná nedorozumění během forenzních rozhovorů s dětmi. Vedení rozhovoru sociálním pracovníkem.</w:t>
      </w:r>
    </w:p>
    <w:p w:rsidR="00000000" w:rsidDel="00000000" w:rsidP="00000000" w:rsidRDefault="00000000" w:rsidRPr="00000000" w14:paraId="00000032">
      <w:pPr>
        <w:ind w:left="1080" w:firstLine="0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after="0" w:line="240" w:lineRule="auto"/>
        <w:ind w:left="1080" w:hanging="360"/>
        <w:rPr>
          <w:b w:val="1"/>
          <w:bCs w:val="1"/>
          <w:color w:val="0070c0"/>
        </w:rPr>
      </w:pPr>
      <w:r w:rsidDel="00000000" w:rsidR="00000000" w:rsidRPr="00000000">
        <w:rPr>
          <w:b w:val="1"/>
          <w:bCs w:val="1"/>
          <w:color w:val="0070c0"/>
          <w:rtl w:val="0"/>
        </w:rPr>
        <w:t xml:space="preserve">Vývojová specifika</w:t>
      </w:r>
    </w:p>
    <w:p w:rsidR="00000000" w:rsidDel="00000000" w:rsidP="00000000" w:rsidRDefault="00000000" w:rsidRPr="00000000" w14:paraId="00000034">
      <w:pPr>
        <w:ind w:left="1080" w:firstLine="0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Vývojové vnímání času, reality, pravdivosti svých tvrzení u dětí různých věkových kategorií. Charakteristiky jednotlivých období vývoje, klíčové oblasti rozhovoru, možné otázky. Škály a standardizované dotazníky pro zjišťování názoru dítěte, jejich vyhodnocení a finalizace závěrů.</w:t>
      </w:r>
    </w:p>
    <w:p w:rsidR="00000000" w:rsidDel="00000000" w:rsidP="00000000" w:rsidRDefault="00000000" w:rsidRPr="00000000" w14:paraId="00000035">
      <w:pPr>
        <w:ind w:left="1080" w:firstLine="0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spacing w:after="0" w:line="240" w:lineRule="auto"/>
        <w:ind w:left="1080" w:hanging="360"/>
        <w:rPr>
          <w:b w:val="1"/>
          <w:bCs w:val="1"/>
          <w:color w:val="0070c0"/>
        </w:rPr>
      </w:pPr>
      <w:r w:rsidDel="00000000" w:rsidR="00000000" w:rsidRPr="00000000">
        <w:rPr>
          <w:b w:val="1"/>
          <w:bCs w:val="1"/>
          <w:color w:val="0070c0"/>
          <w:rtl w:val="0"/>
        </w:rPr>
        <w:t xml:space="preserve">Závěr </w:t>
      </w:r>
    </w:p>
    <w:p w:rsidR="00000000" w:rsidDel="00000000" w:rsidP="00000000" w:rsidRDefault="00000000" w:rsidRPr="00000000" w14:paraId="00000037">
      <w:pPr>
        <w:ind w:left="1080" w:firstLine="0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Shrnutí získaných poznatků, dotazy posluchačů</w:t>
      </w:r>
    </w:p>
    <w:p w:rsidR="00000000" w:rsidDel="00000000" w:rsidP="00000000" w:rsidRDefault="00000000" w:rsidRPr="00000000" w14:paraId="00000038">
      <w:pPr>
        <w:spacing w:after="0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tabs>
          <w:tab w:val="left" w:leader="none" w:pos="10195"/>
        </w:tabs>
        <w:spacing w:after="0" w:before="40" w:line="240" w:lineRule="auto"/>
        <w:ind w:right="-11"/>
        <w:jc w:val="both"/>
        <w:rPr>
          <w:rFonts w:ascii="Arial" w:cs="Arial" w:eastAsia="Arial" w:hAnsi="Arial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b0f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b0f0"/>
          <w:sz w:val="20"/>
          <w:szCs w:val="20"/>
          <w:u w:val="none"/>
          <w:shd w:fill="auto" w:val="clear"/>
          <w:vertAlign w:val="baseline"/>
          <w:rtl w:val="0"/>
        </w:rPr>
        <w:t xml:space="preserve">Součástí ceny je osvědčení o absolvování semináře, materiály k tématu v elektronické podobě </w:t>
      </w:r>
    </w:p>
    <w:p w:rsidR="00000000" w:rsidDel="00000000" w:rsidP="00000000" w:rsidRDefault="00000000" w:rsidRPr="00000000" w14:paraId="0000003B">
      <w:pPr>
        <w:tabs>
          <w:tab w:val="left" w:leader="none" w:pos="3330"/>
        </w:tabs>
        <w:ind w:right="-153"/>
        <w:jc w:val="both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tabs>
          <w:tab w:val="left" w:leader="none" w:pos="3330"/>
        </w:tabs>
        <w:ind w:right="-153"/>
        <w:jc w:val="both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Jak se přihlásit:</w:t>
      </w:r>
      <w:r w:rsidDel="00000000" w:rsidR="00000000" w:rsidRPr="00000000">
        <w:rPr>
          <w:b w:val="1"/>
          <w:bCs w:val="1"/>
          <w:color w:val="00b0f0"/>
          <w:rtl w:val="0"/>
        </w:rPr>
        <w:t xml:space="preserve">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53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Zaplaťte účastnický poplatek a vyplňte přihlašovací formulář, prostřednictvím našich webových stránek </w:t>
      </w:r>
      <w:hyperlink r:id="rId8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www.topseminare.cz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.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Úředníci ÚSC mohou realizovat platbu za seminář až po obdržení faktury po semináři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Nejasnosti a dotazy rádi vyřídíme telefonicky či emailem (kontakty viz výše nebo na webových stránkách).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Ve lhůtě tři dny a méně před konáním akce není možné zrušit účast na semináři. Kdykoli je možné nahlásit náhradníka na </w:t>
      </w:r>
      <w:hyperlink r:id="rId9">
        <w:r w:rsidDel="00000000" w:rsidR="00000000" w:rsidRPr="00000000">
          <w:rPr>
            <w:rFonts w:ascii="Calibri" w:cs="Calibri" w:eastAsia="Calibri" w:hAnsi="Calibri"/>
            <w:b w:val="1"/>
            <w:bCs w:val="1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info@topseminare.cz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E">
      <w:pPr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Zaplacení a smluvní podmínky: </w:t>
      </w:r>
    </w:p>
    <w:p w:rsidR="00000000" w:rsidDel="00000000" w:rsidP="00000000" w:rsidRDefault="00000000" w:rsidRPr="00000000" w14:paraId="00000040">
      <w:pPr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Úhradu semináře proveďte na náš </w:t>
      </w:r>
      <w:r w:rsidDel="00000000" w:rsidR="00000000" w:rsidRPr="00000000">
        <w:rPr>
          <w:b w:val="1"/>
          <w:bCs w:val="1"/>
          <w:i w:val="1"/>
          <w:iCs w:val="1"/>
          <w:color w:val="ff0000"/>
          <w:sz w:val="20"/>
          <w:szCs w:val="20"/>
          <w:rtl w:val="0"/>
        </w:rPr>
        <w:t xml:space="preserve">účet č. 5000500032/5500 Raiffeisen Bank</w:t>
      </w:r>
      <w:r w:rsidDel="00000000" w:rsidR="00000000" w:rsidRPr="00000000">
        <w:rPr>
          <w:sz w:val="20"/>
          <w:szCs w:val="20"/>
          <w:rtl w:val="0"/>
        </w:rPr>
        <w:t xml:space="preserve">, neopomeňte uvést správný variabilní symbol. Daňový doklad obdrží účastníci v den konání semináře. V případě neúčasti se vložné nevrací, ale je možné poslat náhradníka. </w:t>
      </w: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headerReference r:id="rId12" w:type="even"/>
      <w:footerReference r:id="rId13" w:type="default"/>
      <w:footerReference r:id="rId14" w:type="first"/>
      <w:footerReference r:id="rId15" w:type="even"/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Trebuchet MS"/>
  <w:font w:name="Twentieth 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nfo@topseminare.cz" TargetMode="External"/><Relationship Id="rId15" Type="http://schemas.openxmlformats.org/officeDocument/2006/relationships/footer" Target="footer1.xml"/><Relationship Id="rId1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yperlink" Target="http://www.topseminare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