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95" cy="2141220"/>
                            <a:chOff x="1222300" y="2709375"/>
                            <a:chExt cx="824739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375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0" cy="2141220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rect b="b" l="l" r="r" t="t"/>
                                <a:pathLst>
                                  <a:path extrusionOk="0" h="1762125" w="3876675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83C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rect b="b" l="l" r="r" t="t"/>
                                <a:pathLst>
                                  <a:path extrusionOk="0" h="1924050" w="600075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ADE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rect b="b" l="l" r="r" t="t"/>
                                <a:pathLst>
                                  <a:path extrusionOk="0" h="904875" w="600075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CADE4"/>
                                  </a:gs>
                                  <a:gs pos="100000">
                                    <a:srgbClr val="75CEEF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rect b="b" l="l" r="r" t="t"/>
                                <a:pathLst>
                                  <a:path extrusionOk="0" h="828675" w="281940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2683C6"/>
                                  </a:gs>
                                  <a:gs pos="100000">
                                    <a:srgbClr val="1C6294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6614159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„Psychologické minimum pro účely sociální práce s rodinným systémem-krizové situace“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1"/>
          <w:bCs w:val="1"/>
          <w:i w:val="0"/>
          <w:iCs w:val="0"/>
          <w:color w:val="7030a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Psychologické minimum pro účely sociální práce s rodinným systémem-krizové situace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A2024/1109-SP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bCs w:val="1"/>
          <w:color w:val="4472c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Psychologické minimum pro účely sociální práce s rodinným systémem</w:t>
      </w:r>
      <w:r w:rsidDel="00000000" w:rsidR="00000000" w:rsidRPr="00000000">
        <w:rPr>
          <w:b w:val="1"/>
          <w:bCs w:val="1"/>
          <w:color w:val="4472c4"/>
          <w:sz w:val="28"/>
          <w:szCs w:val="28"/>
          <w:rtl w:val="0"/>
        </w:rPr>
        <w:t xml:space="preserve">-</w:t>
      </w:r>
      <w:r w:rsidDel="00000000" w:rsidR="00000000" w:rsidRPr="00000000">
        <w:rPr>
          <w:color w:val="4472c4"/>
          <w:sz w:val="28"/>
          <w:szCs w:val="28"/>
          <w:rtl w:val="0"/>
        </w:rPr>
        <w:t xml:space="preserve">krizové situace 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(videokurz)“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Psychologické minimum pro účely sociální práce s rodinným systémem-krizové situace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A2024/1109-SP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202601130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Dr. Ing. Jiří Staněk, psychoterapie, zkušený lektor. Psychoterapeutická práce s dětmi, které jsou oběťmi trestných činů.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13.11. 2026 (pátek)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 úvodní části semináře dojde na traumatické situace v rodině, včetně traumatu dětí. Kurz pokračuje do oblasti vztahových krizí, zejména pak rozvodu a jeho dopadů, jakož i uspořádání péče o děti po rozvodu (rozchodu). Domácímu násilí v rodině se věnuje závěr tohoto bloku. Další krizové situace, které ovlivňují rodinný systém jsou náplní třetího bloku semináře. Jde zde zejména o závažnou nemoc dítěte, vliv nemoci dítěte na celý rodinný systém, hospitalizaci, přípravu na bolestivé zákroky a práci s bolestí.   Na závěr se školení zaměří na dítě s postižením nebo chronickým onemocněním a ztrátu blízké osoby, truchlení a paliativní péči. Paliativní péče u dětí a reakce dětí na smrt blízké osoby pak uzavírají rámec školení. Na závěr proběhne stručné shrnutí a dotazy posluchačů.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bookmarkStart w:colFirst="0" w:colLast="0" w:name="_wuxjs57k1si4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svoje znalosti z oblasti rodinného traumat a závažných traumatizací v dětství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informace o oblasti domácího násilí.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znalosti o situaci týkající se rozvodu v rodině a dopadu na děti a celý rodinný systém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upevňují poznatky týkající se krizových situací v rodině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informace o oblast nemocí v rodině a paliativní péče.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8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A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