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95" cy="2141220"/>
                            <a:chOff x="1222300" y="2709375"/>
                            <a:chExt cx="8247390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375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80" cy="2141220"/>
                              <a:chOff x="-7144" y="-7144"/>
                              <a:chExt cx="6005513" cy="19240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-7144" y="-7144"/>
                                <a:ext cx="6005500" cy="192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2121694" y="-7144"/>
                                <a:ext cx="3876675" cy="1762125"/>
                              </a:xfrm>
                              <a:custGeom>
                                <a:rect b="b" l="l" r="r" t="t"/>
                                <a:pathLst>
                                  <a:path extrusionOk="0" h="1762125" w="3876675">
                                    <a:moveTo>
                                      <a:pt x="3869531" y="1359694"/>
                                    </a:moveTo>
                                    <a:cubicBezTo>
                                      <a:pt x="3869531" y="1359694"/>
                                      <a:pt x="3379946" y="1834039"/>
                                      <a:pt x="2359819" y="1744504"/>
                                    </a:cubicBezTo>
                                    <a:cubicBezTo>
                                      <a:pt x="1339691" y="1654969"/>
                                      <a:pt x="936784" y="1180624"/>
                                      <a:pt x="7144" y="1287304"/>
                                    </a:cubicBezTo>
                                    <a:lnTo>
                                      <a:pt x="7144" y="7144"/>
                                    </a:lnTo>
                                    <a:lnTo>
                                      <a:pt x="3869531" y="7144"/>
                                    </a:lnTo>
                                    <a:lnTo>
                                      <a:pt x="3869531" y="13596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83C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-7144" y="-7144"/>
                                <a:ext cx="6000750" cy="1924050"/>
                              </a:xfrm>
                              <a:custGeom>
                                <a:rect b="b" l="l" r="r" t="t"/>
                                <a:pathLst>
                                  <a:path extrusionOk="0" h="1924050" w="6000750">
                                    <a:moveTo>
                                      <a:pt x="7144" y="1699736"/>
                                    </a:moveTo>
                                    <a:cubicBezTo>
                                      <a:pt x="7144" y="1699736"/>
                                      <a:pt x="1410176" y="2317909"/>
                                      <a:pt x="2934176" y="1484471"/>
                                    </a:cubicBezTo>
                                    <a:cubicBezTo>
                                      <a:pt x="4459129" y="651986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lnTo>
                                      <a:pt x="7144" y="1699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ADE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-7144" y="-7144"/>
                                <a:ext cx="6000750" cy="904875"/>
                              </a:xfrm>
                              <a:custGeom>
                                <a:rect b="b" l="l" r="r" t="t"/>
                                <a:pathLst>
                                  <a:path extrusionOk="0" h="904875" w="6000750">
                                    <a:moveTo>
                                      <a:pt x="7144" y="7144"/>
                                    </a:moveTo>
                                    <a:lnTo>
                                      <a:pt x="7144" y="613886"/>
                                    </a:lnTo>
                                    <a:cubicBezTo>
                                      <a:pt x="647224" y="1034891"/>
                                      <a:pt x="2136934" y="964406"/>
                                      <a:pt x="3546634" y="574834"/>
                                    </a:cubicBezTo>
                                    <a:cubicBezTo>
                                      <a:pt x="4882039" y="205264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1CADE4"/>
                                  </a:gs>
                                  <a:gs pos="100000">
                                    <a:srgbClr val="75CEEF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3176111" y="924401"/>
                                <a:ext cx="2819400" cy="828675"/>
                              </a:xfrm>
                              <a:custGeom>
                                <a:rect b="b" l="l" r="r" t="t"/>
                                <a:pathLst>
                                  <a:path extrusionOk="0" h="828675" w="2819400">
                                    <a:moveTo>
                                      <a:pt x="7144" y="481489"/>
                                    </a:moveTo>
                                    <a:cubicBezTo>
                                      <a:pt x="380524" y="602456"/>
                                      <a:pt x="751999" y="764381"/>
                                      <a:pt x="1305401" y="812959"/>
                                    </a:cubicBezTo>
                                    <a:cubicBezTo>
                                      <a:pt x="2325529" y="902494"/>
                                      <a:pt x="2815114" y="428149"/>
                                      <a:pt x="2815114" y="428149"/>
                                    </a:cubicBezTo>
                                    <a:lnTo>
                                      <a:pt x="2815114" y="7144"/>
                                    </a:lnTo>
                                    <a:cubicBezTo>
                                      <a:pt x="2332196" y="236696"/>
                                      <a:pt x="1376839" y="568166"/>
                                      <a:pt x="7144" y="481489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2683C6"/>
                                  </a:gs>
                                  <a:gs pos="100000">
                                    <a:srgbClr val="1C6294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6614159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36"/>
          <w:szCs w:val="36"/>
          <w:rtl w:val="0"/>
        </w:rPr>
        <w:t xml:space="preserve">Využití vybraných dovedností z oblasti psychoterapie s dětmi a mladistvými jako podpůrných technik pro usnadnění sociální práce s dětmi a mladistvými.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color w:val="7030a0"/>
          <w:sz w:val="24"/>
          <w:szCs w:val="24"/>
          <w:rtl w:val="0"/>
        </w:rPr>
        <w:t xml:space="preserve">Využití vybraných dovedností z oblasti psychoterapie s dětmi a mladistvými jako podpůrných technik pro usnadnění sociální práce s dětmi a mladistvými.“ </w:t>
      </w:r>
      <w:r w:rsidDel="00000000" w:rsidR="00000000" w:rsidRPr="00000000">
        <w:rPr>
          <w:b w:val="1"/>
          <w:bCs w:val="1"/>
          <w:color w:val="7030a0"/>
          <w:sz w:val="24"/>
          <w:szCs w:val="24"/>
          <w:rtl w:val="0"/>
        </w:rPr>
        <w:t xml:space="preserve">A2025/1240-SP/PC</w:t>
      </w:r>
      <w:r w:rsidDel="00000000" w:rsidR="00000000" w:rsidRPr="00000000">
        <w:rPr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: „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Využití vybraných dovedností z oblasti psychoterapie s dětmi a mladistvými jako podpůrných technik pro usnadnění sociální práce s dětmi a mladistvými.</w:t>
      </w: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740"/>
        <w:gridCol w:w="6968"/>
        <w:tblGridChange w:id="0">
          <w:tblGrid>
            <w:gridCol w:w="3740"/>
            <w:gridCol w:w="6968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Využití vybraných dovedností z oblasti psychoterapie s dětmi a mladistvými jako podpůrných technik pro usnadnění sociální práce s dětmi a mladistvými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00000"/>
                <w:sz w:val="28"/>
                <w:szCs w:val="28"/>
                <w:rtl w:val="0"/>
              </w:rPr>
              <w:t xml:space="preserve">NOVINKA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A2025/1240-SP/PC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online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202601256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Dr. Ing. Jiří Staněk, psychoterapie, zkušený lektor. Psychoterapeutická práce s dětmi, které jsou oběťmi trestných činů.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15.12. 2026 (úterý)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 úvodním představení tématu přijdou na řadu dětská práva v rámci psychoterapie. V bloku vlastní psychoterapie s dětmi jsou vysvětleny způsoby práce psychoterapeuta s dítětem i zapojení rodinných příslušníků a pečovatelů. Jsou vysvětlena specifika psychoterapeutické práce a popsán vlastní psychoterapeutický proces. V další části semináře dojde na prostředky psychoterapeutické pomoci, které jsou často použitelné i v rámci sociální práce s dítětem. Dále pak jsou shrnuty vývojově psychologické souvislosti duševních poruch u dětí a způsoby psychoterapeutického zasahování. Na závěr je shrnuta probraná problematiky a proběhne diskuse.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bookmarkStart w:colFirst="0" w:colLast="0" w:name="_hmlpdah3z7jr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svoje poznatky z oblasti dětských práv v rámci psychoterapie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informace o dětské psychoterapii a jejich formách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své znalosti o výčet prostředků psychoterapeutické pomoci a jejich možné využitelnosti v rámci sociální práce.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informace týkající se vývojově psychologických souvislostí duševních poruch dětí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9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