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-457195</wp:posOffset>
                </wp:positionH>
                <wp:positionV relativeFrom="paragraph">
                  <wp:posOffset>-457828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400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1222300" y="2709375"/>
                            <a:chExt cx="8247400" cy="21412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222300" y="2709375"/>
                              <a:ext cx="8247400" cy="2141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222310" y="2709390"/>
                              <a:ext cx="8247385" cy="2141220"/>
                              <a:chOff x="1222300" y="2709375"/>
                              <a:chExt cx="8247405" cy="214125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1222300" y="2709375"/>
                                <a:ext cx="8247400" cy="2141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222310" y="2709390"/>
                                <a:ext cx="8247395" cy="2141220"/>
                                <a:chOff x="1222300" y="2709375"/>
                                <a:chExt cx="8247390" cy="2141250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1222300" y="2709375"/>
                                  <a:ext cx="8247375" cy="2141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222310" y="2709390"/>
                                  <a:ext cx="8247380" cy="2141220"/>
                                  <a:chOff x="-7144" y="-7144"/>
                                  <a:chExt cx="6005513" cy="1924050"/>
                                </a:xfrm>
                              </wpg:grpSpPr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-7144" y="-7144"/>
                                    <a:ext cx="6005500" cy="1924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2121694" y="-7144"/>
                                    <a:ext cx="3876675" cy="17621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762125" w="3876675">
                                        <a:moveTo>
                                          <a:pt x="3869531" y="1359694"/>
                                        </a:moveTo>
                                        <a:cubicBezTo>
                                          <a:pt x="3869531" y="1359694"/>
                                          <a:pt x="3379946" y="1834039"/>
                                          <a:pt x="2359819" y="1744504"/>
                                        </a:cubicBezTo>
                                        <a:cubicBezTo>
                                          <a:pt x="1339691" y="1654969"/>
                                          <a:pt x="936784" y="1180624"/>
                                          <a:pt x="7144" y="1287304"/>
                                        </a:cubicBezTo>
                                        <a:lnTo>
                                          <a:pt x="7144" y="7144"/>
                                        </a:lnTo>
                                        <a:lnTo>
                                          <a:pt x="3869531" y="7144"/>
                                        </a:lnTo>
                                        <a:lnTo>
                                          <a:pt x="3869531" y="135969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683C6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-7144" y="-7144"/>
                                    <a:ext cx="6000750" cy="19240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24050" w="6000750">
                                        <a:moveTo>
                                          <a:pt x="7144" y="1699736"/>
                                        </a:moveTo>
                                        <a:cubicBezTo>
                                          <a:pt x="7144" y="1699736"/>
                                          <a:pt x="1410176" y="2317909"/>
                                          <a:pt x="2934176" y="1484471"/>
                                        </a:cubicBezTo>
                                        <a:cubicBezTo>
                                          <a:pt x="4459129" y="651986"/>
                                          <a:pt x="5998369" y="893921"/>
                                          <a:pt x="5998369" y="893921"/>
                                        </a:cubicBezTo>
                                        <a:lnTo>
                                          <a:pt x="5998369" y="7144"/>
                                        </a:lnTo>
                                        <a:lnTo>
                                          <a:pt x="7144" y="7144"/>
                                        </a:lnTo>
                                        <a:lnTo>
                                          <a:pt x="7144" y="169973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1CADE4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-7144" y="-7144"/>
                                    <a:ext cx="6000750" cy="9048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904875" w="6000750">
                                        <a:moveTo>
                                          <a:pt x="7144" y="7144"/>
                                        </a:moveTo>
                                        <a:lnTo>
                                          <a:pt x="7144" y="613886"/>
                                        </a:lnTo>
                                        <a:cubicBezTo>
                                          <a:pt x="647224" y="1034891"/>
                                          <a:pt x="2136934" y="964406"/>
                                          <a:pt x="3546634" y="574834"/>
                                        </a:cubicBezTo>
                                        <a:cubicBezTo>
                                          <a:pt x="4882039" y="205264"/>
                                          <a:pt x="5998369" y="893921"/>
                                          <a:pt x="5998369" y="893921"/>
                                        </a:cubicBezTo>
                                        <a:lnTo>
                                          <a:pt x="5998369" y="7144"/>
                                        </a:lnTo>
                                        <a:lnTo>
                                          <a:pt x="7144" y="71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adFill>
                                    <a:gsLst>
                                      <a:gs pos="0">
                                        <a:srgbClr val="1CADE4"/>
                                      </a:gs>
                                      <a:gs pos="100000">
                                        <a:srgbClr val="76CEEF"/>
                                      </a:gs>
                                    </a:gsLst>
                                    <a:lin ang="0" scaled="0"/>
                                  </a:gra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3176111" y="924401"/>
                                    <a:ext cx="2819400" cy="8286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28675" w="2819400">
                                        <a:moveTo>
                                          <a:pt x="7144" y="481489"/>
                                        </a:moveTo>
                                        <a:cubicBezTo>
                                          <a:pt x="380524" y="602456"/>
                                          <a:pt x="751999" y="764381"/>
                                          <a:pt x="1305401" y="812959"/>
                                        </a:cubicBezTo>
                                        <a:cubicBezTo>
                                          <a:pt x="2325529" y="902494"/>
                                          <a:pt x="2815114" y="428149"/>
                                          <a:pt x="2815114" y="428149"/>
                                        </a:cubicBezTo>
                                        <a:lnTo>
                                          <a:pt x="2815114" y="7144"/>
                                        </a:lnTo>
                                        <a:cubicBezTo>
                                          <a:pt x="2332196" y="236696"/>
                                          <a:pt x="1376839" y="568166"/>
                                          <a:pt x="7144" y="481489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gradFill>
                                    <a:gsLst>
                                      <a:gs pos="0">
                                        <a:srgbClr val="2683C6"/>
                                      </a:gs>
                                      <a:gs pos="100000">
                                        <a:srgbClr val="1C6294"/>
                                      </a:gs>
                                    </a:gsLst>
                                    <a:lin ang="0" scaled="0"/>
                                  </a:gra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-457195</wp:posOffset>
                </wp:positionH>
                <wp:positionV relativeFrom="paragraph">
                  <wp:posOffset>-457828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6614159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color w:val="4472c4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  <w:rtl w:val="0"/>
        </w:rPr>
        <w:t xml:space="preserve">„</w:t>
      </w:r>
      <w:r w:rsidDel="00000000" w:rsidR="00000000" w:rsidRPr="00000000">
        <w:rPr>
          <w:b w:val="1"/>
          <w:bCs w:val="1"/>
          <w:color w:val="4472c4"/>
          <w:sz w:val="36"/>
          <w:szCs w:val="36"/>
          <w:rtl w:val="0"/>
        </w:rPr>
        <w:t xml:space="preserve">Využití vybraných dovedností z oblasti psychoterapie s dětmi a mladistvými jako podpůrných technik pro usnadnění sociální práce s dětmi a mladistvými.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i w:val="0"/>
          <w:iCs w:val="0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</w:t>
      </w:r>
      <w:r w:rsidDel="00000000" w:rsidR="00000000" w:rsidRPr="00000000">
        <w:rPr>
          <w:color w:val="7030a0"/>
          <w:sz w:val="24"/>
          <w:szCs w:val="24"/>
          <w:rtl w:val="0"/>
        </w:rPr>
        <w:t xml:space="preserve">Využití vybraných dovedností z oblasti psychoterapie s dětmi a mladistvými jako podpůrných technik pro usnadnění sociální práce s dětmi a mladistvými.“ </w:t>
      </w:r>
      <w:r w:rsidDel="00000000" w:rsidR="00000000" w:rsidRPr="00000000">
        <w:rPr>
          <w:b w:val="1"/>
          <w:bCs w:val="1"/>
          <w:color w:val="7030a0"/>
          <w:sz w:val="24"/>
          <w:szCs w:val="24"/>
          <w:rtl w:val="0"/>
        </w:rPr>
        <w:t xml:space="preserve">A2025/1240-SP/PC</w:t>
      </w:r>
      <w:r w:rsidDel="00000000" w:rsidR="00000000" w:rsidRPr="00000000">
        <w:rPr>
          <w:color w:val="7030a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color w:val="4472c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: „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Využití vybraných dovedností z oblasti psychoterapie s dětmi a mladistvými jako podpůrných technik pro usnadnění sociální práce s dětmi a mladistvými.</w:t>
      </w: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(prezenční)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“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739"/>
        <w:gridCol w:w="6969"/>
        <w:tblGridChange w:id="0">
          <w:tblGrid>
            <w:gridCol w:w="3739"/>
            <w:gridCol w:w="6969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Využití vybraných dovedností z oblasti psychoterapie s dětmi a mladistvými jako podpůrných technik pro usnadnění sociální práce s dětmi a mladistvými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00000"/>
                <w:sz w:val="28"/>
                <w:szCs w:val="28"/>
                <w:rtl w:val="0"/>
              </w:rPr>
              <w:t xml:space="preserve">NOVINKA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MPSV: </w:t>
            </w:r>
            <w:r w:rsidDel="00000000" w:rsidR="00000000" w:rsidRPr="00000000">
              <w:rPr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A2025/1240-SP/PC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 (8. hodin) prezenční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(prezenční)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202601045</w:t>
            </w:r>
          </w:p>
        </w:tc>
      </w:tr>
      <w:tr>
        <w:trPr>
          <w:cantSplit w:val="0"/>
          <w:trHeight w:val="1431.88476562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Dr. Ing. Jiří Staněk, psychoterapie, zkušený lektor. Psychoterapeutická práce s dětmi, které jsou oběťmi trestných činů.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13.10. 2026 (úterý) od 9,00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8,30hod – 9,00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color w:val="1155cc"/>
                  <w:rtl w:val="0"/>
                </w:rPr>
                <w:br w:type="textWrapping"/>
              </w:r>
            </w:hyperlink>
            <w:hyperlink r:id="rId9">
              <w:r w:rsidDel="00000000" w:rsidR="00000000" w:rsidRPr="00000000">
                <w:rPr>
                  <w:rFonts w:ascii="Arial" w:cs="Arial" w:eastAsia="Arial" w:hAnsi="Arial"/>
                  <w:color w:val="1155cc"/>
                  <w:u w:val="single"/>
                  <w:rtl w:val="0"/>
                </w:rPr>
                <w:t xml:space="preserve">Střední škola prof. Zdeňka Matějíčka</w:t>
              </w:r>
            </w:hyperlink>
            <w:r w:rsidDel="00000000" w:rsidR="00000000" w:rsidRPr="00000000">
              <w:rPr>
                <w:rFonts w:ascii="Arial" w:cs="Arial" w:eastAsia="Arial" w:hAnsi="Arial"/>
                <w:color w:val="7a7a7a"/>
                <w:rtl w:val="0"/>
              </w:rPr>
              <w:t xml:space="preserve">, 17. listopadu 1123/70, 708 00, Ostrava-Poruba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A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 úvodním představení tématu přijdou na řadu dětská práva v rámci psychoterapie. V bloku vlastní psychoterapie s dětmi jsou vysvětleny způsoby práce psychoterapeuta s dítětem i zapojení rodinných příslušníků a pečovatelů. Jsou vysvětlena specifika psychoterapeutické práce a popsán vlastní psychoterapeutický proces. V další části semináře dojde na prostředky psychoterapeutické pomoci, které jsou často použitelné i v rámci sociální práce s dítětem. Dále pak jsou shrnuty vývojově psychologické souvislosti duševních poruch u dětí a způsoby psychoterapeutického zasahování. Na závěr je shrnuta probraná problematiky a proběhne diskuse.</w:t>
      </w:r>
    </w:p>
    <w:p w:rsidR="00000000" w:rsidDel="00000000" w:rsidP="00000000" w:rsidRDefault="00000000" w:rsidRPr="00000000" w14:paraId="0000002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8"/>
          <w:szCs w:val="28"/>
        </w:rPr>
      </w:pPr>
      <w:bookmarkStart w:colFirst="0" w:colLast="0" w:name="_jcgnb469rqej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doplňují svoje poznatky z oblasti dětských práv v rámci psychoterapie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obnovují informace o dětské psychoterapii a jejich formách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doplňují své znalosti o výčet prostředků psychoterapeutické pomoci a jejich možné využitelnosti v rámci sociální práce.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obnovují informace týkající se vývojově psychologických souvislostí duševních poruch dětí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  <w:rtl w:val="0"/>
        </w:rPr>
        <w:t xml:space="preserve">Součástí ceny je osvědčení o absolvování semináře, materiály k tématu v elektronické podobě a občerstvení, které sestává z nealkoholických nápojů a občerstvení v průběhu školení.</w:t>
      </w:r>
    </w:p>
    <w:p w:rsidR="00000000" w:rsidDel="00000000" w:rsidP="00000000" w:rsidRDefault="00000000" w:rsidRPr="00000000" w14:paraId="00000033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</w:t>
      </w:r>
      <w:r w:rsidDel="00000000" w:rsidR="00000000" w:rsidRPr="00000000">
        <w:rPr>
          <w:b w:val="1"/>
          <w:bCs w:val="1"/>
          <w:color w:val="00b0f0"/>
          <w:rtl w:val="0"/>
        </w:rPr>
        <w:t xml:space="preserve">  </w:t>
        <w:tab/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Zaplaťte účastnický poplatek a vyplňte přihlašovací formulář, prostřednictvím našich webových stránek </w:t>
      </w:r>
      <w:hyperlink r:id="rId1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www.topseminare.cz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 lhůtě tři dny a méně před konáním akce není možné zrušit účast na semináři. Kdykoli je možné nahlásit náhradníka na 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info@topseminare.cz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6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8">
      <w:pPr>
        <w:spacing w:after="360" w:before="40" w:line="240" w:lineRule="auto"/>
        <w:ind w:right="72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40" w:line="240" w:lineRule="auto"/>
        <w:ind w:right="720"/>
        <w:jc w:val="both"/>
        <w:rPr>
          <w:rFonts w:ascii="Arial" w:cs="Arial" w:eastAsia="Arial" w:hAnsi="Arial"/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before="40" w:line="240" w:lineRule="auto"/>
        <w:ind w:left="720" w:right="720" w:firstLine="0"/>
        <w:jc w:val="both"/>
        <w:rPr>
          <w:rFonts w:ascii="Times New Roman" w:cs="Times New Roman" w:eastAsia="Times New Roman" w:hAnsi="Times New Roman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2" w:type="default"/>
      <w:headerReference r:id="rId13" w:type="first"/>
      <w:headerReference r:id="rId14" w:type="even"/>
      <w:footerReference r:id="rId15" w:type="default"/>
      <w:footerReference r:id="rId16" w:type="first"/>
      <w:footerReference r:id="rId17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info@topseminare.cz" TargetMode="External"/><Relationship Id="rId10" Type="http://schemas.openxmlformats.org/officeDocument/2006/relationships/hyperlink" Target="http://www.topseminare.cz" TargetMode="External"/><Relationship Id="rId13" Type="http://schemas.openxmlformats.org/officeDocument/2006/relationships/header" Target="head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aps.app.goo.gl/airnnwwr3cwZ4MUA8" TargetMode="External"/><Relationship Id="rId15" Type="http://schemas.openxmlformats.org/officeDocument/2006/relationships/footer" Target="footer1.xml"/><Relationship Id="rId14" Type="http://schemas.openxmlformats.org/officeDocument/2006/relationships/header" Target="header3.xml"/><Relationship Id="rId17" Type="http://schemas.openxmlformats.org/officeDocument/2006/relationships/footer" Target="footer3.xml"/><Relationship Id="rId16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s://maps.app.goo.gl/airnnwwr3cwZ4MUA8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